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A5279" w14:textId="4E63B26E" w:rsidR="00F449CC" w:rsidRPr="00FA7A61" w:rsidRDefault="00F449CC" w:rsidP="00C50CD4">
      <w:pPr>
        <w:spacing w:after="120"/>
        <w:jc w:val="center"/>
        <w:rPr>
          <w:rFonts w:ascii="Arial" w:hAnsi="Arial" w:cs="Arial"/>
          <w:b/>
        </w:rPr>
      </w:pPr>
      <w:r w:rsidRPr="00FA7A61">
        <w:rPr>
          <w:rFonts w:ascii="Arial" w:hAnsi="Arial" w:cs="Arial"/>
          <w:b/>
        </w:rPr>
        <w:t>Accord-cadre Dérogation au CCAG</w:t>
      </w:r>
    </w:p>
    <w:p w14:paraId="1DF61ED5" w14:textId="77777777" w:rsidR="00C50CD4" w:rsidRPr="00FA7A61" w:rsidRDefault="00C50CD4" w:rsidP="00C50CD4">
      <w:pPr>
        <w:spacing w:after="120"/>
        <w:rPr>
          <w:rFonts w:ascii="Arial" w:hAnsi="Arial" w:cs="Arial"/>
        </w:rPr>
      </w:pPr>
    </w:p>
    <w:p w14:paraId="7EB46CE6" w14:textId="3FF95FC6" w:rsidR="00D277F3" w:rsidRPr="00FA7A61" w:rsidRDefault="00FA7A61" w:rsidP="00C50CD4">
      <w:pPr>
        <w:pStyle w:val="Titre3"/>
        <w:numPr>
          <w:ilvl w:val="0"/>
          <w:numId w:val="8"/>
        </w:numPr>
        <w:tabs>
          <w:tab w:val="clear" w:pos="9072"/>
        </w:tabs>
        <w:spacing w:before="0" w:after="120" w:line="240" w:lineRule="auto"/>
        <w:rPr>
          <w:rFonts w:cs="Arial"/>
          <w:sz w:val="22"/>
          <w:szCs w:val="22"/>
        </w:rPr>
      </w:pPr>
      <w:r w:rsidRPr="00FA7A61">
        <w:rPr>
          <w:rFonts w:cs="Arial"/>
          <w:sz w:val="22"/>
          <w:szCs w:val="22"/>
        </w:rPr>
        <w:t>Article 3.1 du CCAP</w:t>
      </w:r>
    </w:p>
    <w:p w14:paraId="645F135C" w14:textId="77777777" w:rsidR="00FA7A61" w:rsidRPr="00FA7A61" w:rsidRDefault="00FA7A61" w:rsidP="00FA7A61">
      <w:pPr>
        <w:spacing w:after="160" w:line="259" w:lineRule="auto"/>
        <w:rPr>
          <w:rFonts w:ascii="Arial" w:eastAsiaTheme="minorHAnsi" w:hAnsi="Arial" w:cs="Arial"/>
          <w:lang w:eastAsia="en-US"/>
        </w:rPr>
      </w:pPr>
      <w:r w:rsidRPr="00FA7A61">
        <w:rPr>
          <w:rFonts w:ascii="Arial" w:eastAsiaTheme="minorHAnsi" w:hAnsi="Arial" w:cs="Arial"/>
          <w:lang w:eastAsia="en-US"/>
        </w:rPr>
        <w:t xml:space="preserve">Le présent marché est constitué par les documents contractuels énumérés ci-après, par ordre de priorité décroissante, </w:t>
      </w:r>
      <w:r w:rsidRPr="00FA7A61">
        <w:rPr>
          <w:rFonts w:ascii="Arial" w:eastAsiaTheme="minorHAnsi" w:hAnsi="Arial" w:cs="Arial"/>
          <w:b/>
          <w:lang w:eastAsia="en-US"/>
        </w:rPr>
        <w:t>par dérogation à l’article 4.1</w:t>
      </w:r>
      <w:r w:rsidRPr="00FA7A61">
        <w:rPr>
          <w:rFonts w:ascii="Arial" w:eastAsiaTheme="minorHAnsi" w:hAnsi="Arial" w:cs="Arial"/>
          <w:lang w:eastAsia="en-US"/>
        </w:rPr>
        <w:t xml:space="preserve"> du cahier des clauses administratives générales applicable aux marchés de travaux : </w:t>
      </w:r>
    </w:p>
    <w:p w14:paraId="2E76A10A" w14:textId="77777777" w:rsidR="00FA7A61" w:rsidRPr="00FA7A61" w:rsidRDefault="00FA7A61" w:rsidP="00FA7A61">
      <w:pPr>
        <w:numPr>
          <w:ilvl w:val="0"/>
          <w:numId w:val="25"/>
        </w:numPr>
        <w:spacing w:after="160" w:line="259" w:lineRule="auto"/>
        <w:ind w:left="714" w:hanging="357"/>
        <w:contextualSpacing/>
        <w:rPr>
          <w:rFonts w:ascii="Arial" w:eastAsiaTheme="minorHAnsi" w:hAnsi="Arial" w:cs="Arial"/>
          <w:lang w:eastAsia="en-US"/>
        </w:rPr>
      </w:pPr>
      <w:r w:rsidRPr="00FA7A61">
        <w:rPr>
          <w:rFonts w:ascii="Arial" w:eastAsiaTheme="minorHAnsi" w:hAnsi="Arial" w:cs="Arial"/>
          <w:lang w:eastAsia="en-US"/>
        </w:rPr>
        <w:t>L’Acte d’Engagement et son annexe financière (l’offre financière du titulaire) ;</w:t>
      </w:r>
    </w:p>
    <w:p w14:paraId="180CD6B3" w14:textId="77777777" w:rsidR="00FA7A61" w:rsidRPr="00FA7A61" w:rsidRDefault="00FA7A61" w:rsidP="00FA7A61">
      <w:pPr>
        <w:numPr>
          <w:ilvl w:val="0"/>
          <w:numId w:val="25"/>
        </w:numPr>
        <w:spacing w:after="160" w:line="259" w:lineRule="auto"/>
        <w:ind w:left="714" w:hanging="357"/>
        <w:contextualSpacing/>
        <w:rPr>
          <w:rFonts w:ascii="Arial" w:eastAsiaTheme="minorHAnsi" w:hAnsi="Arial" w:cs="Arial"/>
          <w:lang w:eastAsia="en-US"/>
        </w:rPr>
      </w:pPr>
      <w:r w:rsidRPr="00FA7A61">
        <w:rPr>
          <w:rFonts w:ascii="Arial" w:eastAsiaTheme="minorHAnsi" w:hAnsi="Arial" w:cs="Arial"/>
          <w:lang w:eastAsia="en-US"/>
        </w:rPr>
        <w:t>Le présent Cahier des Clauses Administratives Particulières (CCAP) et ses éventuelles annexes ;</w:t>
      </w:r>
    </w:p>
    <w:p w14:paraId="3F95513E" w14:textId="77777777" w:rsidR="00FA7A61" w:rsidRPr="00FA7A61" w:rsidRDefault="00FA7A61" w:rsidP="00FA7A61">
      <w:pPr>
        <w:numPr>
          <w:ilvl w:val="0"/>
          <w:numId w:val="25"/>
        </w:numPr>
        <w:spacing w:after="160" w:line="259" w:lineRule="auto"/>
        <w:ind w:left="714" w:hanging="357"/>
        <w:contextualSpacing/>
        <w:rPr>
          <w:rFonts w:ascii="Arial" w:eastAsiaTheme="minorHAnsi" w:hAnsi="Arial" w:cs="Arial"/>
          <w:lang w:eastAsia="en-US"/>
        </w:rPr>
      </w:pPr>
      <w:r w:rsidRPr="00FA7A61">
        <w:rPr>
          <w:rFonts w:ascii="Arial" w:eastAsiaTheme="minorHAnsi" w:hAnsi="Arial" w:cs="Arial"/>
          <w:lang w:eastAsia="en-US"/>
        </w:rPr>
        <w:t>Le Cahier des Causes Techniques Particulières (CCTP) et ses éventuelles annexes;</w:t>
      </w:r>
    </w:p>
    <w:p w14:paraId="5E5A848C" w14:textId="77777777" w:rsidR="00FA7A61" w:rsidRPr="00FA7A61" w:rsidRDefault="00FA7A61" w:rsidP="00FA7A61">
      <w:pPr>
        <w:numPr>
          <w:ilvl w:val="0"/>
          <w:numId w:val="25"/>
        </w:numPr>
        <w:spacing w:after="160" w:line="259" w:lineRule="auto"/>
        <w:ind w:left="714" w:hanging="357"/>
        <w:contextualSpacing/>
        <w:rPr>
          <w:rFonts w:ascii="Arial" w:eastAsiaTheme="minorHAnsi" w:hAnsi="Arial" w:cs="Arial"/>
          <w:lang w:eastAsia="en-US"/>
        </w:rPr>
      </w:pPr>
      <w:r w:rsidRPr="00FA7A61">
        <w:rPr>
          <w:rFonts w:ascii="Arial" w:eastAsiaTheme="minorHAnsi" w:hAnsi="Arial" w:cs="Arial"/>
          <w:lang w:eastAsia="en-US"/>
        </w:rPr>
        <w:t>Le cahier des clauses administratives générales (CCAG) applicable aux marchés publics de travaux, approuvé par arrêté du 30 mars 2021</w:t>
      </w:r>
    </w:p>
    <w:p w14:paraId="519BE492" w14:textId="77777777" w:rsidR="00FA7A61" w:rsidRPr="00FA7A61" w:rsidRDefault="00FA7A61" w:rsidP="00FA7A61">
      <w:pPr>
        <w:numPr>
          <w:ilvl w:val="0"/>
          <w:numId w:val="25"/>
        </w:numPr>
        <w:spacing w:after="160" w:line="259" w:lineRule="auto"/>
        <w:ind w:left="714" w:hanging="357"/>
        <w:contextualSpacing/>
        <w:rPr>
          <w:rFonts w:ascii="Arial" w:eastAsiaTheme="minorHAnsi" w:hAnsi="Arial" w:cs="Arial"/>
          <w:lang w:eastAsia="en-US"/>
        </w:rPr>
      </w:pPr>
      <w:r w:rsidRPr="00FA7A61">
        <w:rPr>
          <w:rFonts w:ascii="Arial" w:eastAsiaTheme="minorHAnsi" w:hAnsi="Arial" w:cs="Arial"/>
          <w:lang w:eastAsia="en-US"/>
        </w:rPr>
        <w:t>L’offre technique du titulaire;</w:t>
      </w:r>
    </w:p>
    <w:p w14:paraId="649C9C97" w14:textId="77777777" w:rsidR="00FA7A61" w:rsidRPr="00FA7A61" w:rsidRDefault="00FA7A61" w:rsidP="00FA7A61">
      <w:pPr>
        <w:numPr>
          <w:ilvl w:val="0"/>
          <w:numId w:val="25"/>
        </w:numPr>
        <w:spacing w:after="160" w:line="259" w:lineRule="auto"/>
        <w:ind w:left="714" w:hanging="357"/>
        <w:contextualSpacing/>
        <w:rPr>
          <w:rFonts w:ascii="Arial" w:eastAsiaTheme="minorHAnsi" w:hAnsi="Arial" w:cs="Arial"/>
          <w:lang w:eastAsia="en-US"/>
        </w:rPr>
      </w:pPr>
      <w:r w:rsidRPr="00FA7A61">
        <w:rPr>
          <w:rFonts w:ascii="Arial" w:eastAsiaTheme="minorHAnsi" w:hAnsi="Arial" w:cs="Arial"/>
          <w:lang w:eastAsia="en-US"/>
        </w:rPr>
        <w:t>Les actes spéciaux de sous-traitance et leurs éventuels actes modificatifs, postérieurs à la notification du marché ;</w:t>
      </w:r>
    </w:p>
    <w:p w14:paraId="673027BE" w14:textId="77777777" w:rsidR="00FA7A61" w:rsidRPr="00FA7A61" w:rsidRDefault="00FA7A61" w:rsidP="00FA7A61">
      <w:pPr>
        <w:numPr>
          <w:ilvl w:val="0"/>
          <w:numId w:val="25"/>
        </w:numPr>
        <w:spacing w:after="160" w:line="259" w:lineRule="auto"/>
        <w:ind w:left="714" w:hanging="357"/>
        <w:contextualSpacing/>
        <w:rPr>
          <w:rFonts w:ascii="Arial" w:eastAsiaTheme="minorHAnsi" w:hAnsi="Arial" w:cs="Arial"/>
          <w:lang w:eastAsia="en-US"/>
        </w:rPr>
      </w:pPr>
      <w:r w:rsidRPr="00FA7A61">
        <w:rPr>
          <w:rFonts w:ascii="Arial" w:eastAsiaTheme="minorHAnsi" w:hAnsi="Arial" w:cs="Arial"/>
          <w:lang w:eastAsia="en-US"/>
        </w:rPr>
        <w:t>Les marchés subséquents et leurs actes d'exécution et modificatifs contractualisés en phase d'exécution ;</w:t>
      </w:r>
    </w:p>
    <w:p w14:paraId="3D718A87" w14:textId="77777777" w:rsidR="00FA7A61" w:rsidRPr="00FA7A61" w:rsidRDefault="00FA7A61" w:rsidP="00FA7A61">
      <w:pPr>
        <w:numPr>
          <w:ilvl w:val="0"/>
          <w:numId w:val="25"/>
        </w:numPr>
        <w:spacing w:after="160" w:line="259" w:lineRule="auto"/>
        <w:ind w:left="714" w:hanging="357"/>
        <w:contextualSpacing/>
        <w:rPr>
          <w:rFonts w:ascii="Arial" w:eastAsiaTheme="minorHAnsi" w:hAnsi="Arial" w:cs="Arial"/>
          <w:lang w:eastAsia="en-US"/>
        </w:rPr>
      </w:pPr>
      <w:r w:rsidRPr="00FA7A61">
        <w:rPr>
          <w:rFonts w:ascii="Arial" w:eastAsiaTheme="minorHAnsi" w:hAnsi="Arial" w:cs="Arial"/>
          <w:lang w:eastAsia="en-US"/>
        </w:rPr>
        <w:t>Les ordres de services.</w:t>
      </w:r>
    </w:p>
    <w:p w14:paraId="0D68EC25" w14:textId="77777777" w:rsidR="00FA7A61" w:rsidRPr="00FA7A61" w:rsidRDefault="00FA7A61" w:rsidP="00C50CD4">
      <w:pPr>
        <w:spacing w:after="120"/>
        <w:rPr>
          <w:rFonts w:ascii="Arial" w:hAnsi="Arial" w:cs="Arial"/>
        </w:rPr>
      </w:pPr>
    </w:p>
    <w:p w14:paraId="6AC2A418" w14:textId="47C937A7" w:rsidR="00D277F3" w:rsidRPr="00FA7A61" w:rsidRDefault="00D277F3" w:rsidP="00C50CD4">
      <w:pPr>
        <w:spacing w:after="120"/>
        <w:rPr>
          <w:rFonts w:ascii="Arial" w:hAnsi="Arial" w:cs="Arial"/>
        </w:rPr>
      </w:pPr>
      <w:r w:rsidRPr="00FA7A61">
        <w:rPr>
          <w:rFonts w:ascii="Arial" w:hAnsi="Arial" w:cs="Arial"/>
        </w:rPr>
        <w:t xml:space="preserve">En application de </w:t>
      </w:r>
      <w:r w:rsidRPr="00FA7A61">
        <w:rPr>
          <w:rFonts w:ascii="Arial" w:hAnsi="Arial" w:cs="Arial"/>
          <w:b/>
          <w:color w:val="FF0000"/>
        </w:rPr>
        <w:t>l’article 3.1</w:t>
      </w:r>
      <w:r w:rsidRPr="00FA7A61">
        <w:rPr>
          <w:rFonts w:ascii="Arial" w:hAnsi="Arial" w:cs="Arial"/>
          <w:color w:val="FF0000"/>
        </w:rPr>
        <w:t xml:space="preserve"> </w:t>
      </w:r>
      <w:r w:rsidRPr="00FA7A61">
        <w:rPr>
          <w:rFonts w:ascii="Arial" w:hAnsi="Arial" w:cs="Arial"/>
        </w:rPr>
        <w:t xml:space="preserve">du CCAG-Travaux, les échanges dématérialisés sont autorisés. </w:t>
      </w:r>
    </w:p>
    <w:p w14:paraId="481E2654" w14:textId="77777777" w:rsidR="00D277F3" w:rsidRPr="00FA7A61" w:rsidRDefault="00D277F3" w:rsidP="00C50CD4">
      <w:pPr>
        <w:spacing w:after="120"/>
        <w:rPr>
          <w:rFonts w:ascii="Arial" w:hAnsi="Arial" w:cs="Arial"/>
        </w:rPr>
      </w:pPr>
      <w:r w:rsidRPr="00FA7A61">
        <w:rPr>
          <w:rFonts w:ascii="Arial" w:hAnsi="Arial" w:cs="Arial"/>
        </w:rPr>
        <w:t xml:space="preserve">Pour les communications importantes, les échanges dématérialisés peuvent être utilisés, sous réserve qu'ils garantissent de manière absolue la transmission effective des envois et la date de celle-ci. </w:t>
      </w:r>
    </w:p>
    <w:p w14:paraId="47B136C9" w14:textId="77777777" w:rsidR="00D277F3" w:rsidRPr="00FA7A61" w:rsidRDefault="00D277F3" w:rsidP="00C50CD4">
      <w:pPr>
        <w:spacing w:after="120"/>
        <w:rPr>
          <w:rFonts w:ascii="Arial" w:hAnsi="Arial" w:cs="Arial"/>
        </w:rPr>
      </w:pPr>
      <w:r w:rsidRPr="00FA7A61">
        <w:rPr>
          <w:rFonts w:ascii="Arial" w:hAnsi="Arial" w:cs="Arial"/>
        </w:rPr>
        <w:t xml:space="preserve">Certains documents devront néanmoins également être adressés en version originale au Maître d’ouvrage par voie postale LRAR. Il s'agit de la transmission des documents suivants : </w:t>
      </w:r>
    </w:p>
    <w:p w14:paraId="748FA7CA" w14:textId="77777777" w:rsidR="00D277F3" w:rsidRPr="00FA7A61" w:rsidRDefault="00D277F3" w:rsidP="00C50CD4">
      <w:pPr>
        <w:pStyle w:val="Paragraphedeliste"/>
        <w:numPr>
          <w:ilvl w:val="0"/>
          <w:numId w:val="9"/>
        </w:numPr>
        <w:spacing w:after="120"/>
        <w:rPr>
          <w:rFonts w:ascii="Arial" w:hAnsi="Arial" w:cs="Arial"/>
        </w:rPr>
      </w:pPr>
      <w:r w:rsidRPr="00FA7A61">
        <w:rPr>
          <w:rFonts w:ascii="Arial" w:hAnsi="Arial" w:cs="Arial"/>
        </w:rPr>
        <w:t xml:space="preserve">Les ordres de service et les observations/réserves dont ils font l'objet, </w:t>
      </w:r>
    </w:p>
    <w:p w14:paraId="4624EA5E" w14:textId="77777777" w:rsidR="00D277F3" w:rsidRPr="00FA7A61" w:rsidRDefault="00D277F3" w:rsidP="00C50CD4">
      <w:pPr>
        <w:pStyle w:val="Paragraphedeliste"/>
        <w:numPr>
          <w:ilvl w:val="0"/>
          <w:numId w:val="9"/>
        </w:numPr>
        <w:spacing w:after="120"/>
        <w:rPr>
          <w:rFonts w:ascii="Arial" w:hAnsi="Arial" w:cs="Arial"/>
        </w:rPr>
      </w:pPr>
      <w:r w:rsidRPr="00FA7A61">
        <w:rPr>
          <w:rFonts w:ascii="Arial" w:hAnsi="Arial" w:cs="Arial"/>
        </w:rPr>
        <w:t xml:space="preserve">Les réclamations, </w:t>
      </w:r>
    </w:p>
    <w:p w14:paraId="113FE6E7" w14:textId="77777777" w:rsidR="00D277F3" w:rsidRPr="00FA7A61" w:rsidRDefault="00D277F3" w:rsidP="00C50CD4">
      <w:pPr>
        <w:pStyle w:val="Paragraphedeliste"/>
        <w:numPr>
          <w:ilvl w:val="0"/>
          <w:numId w:val="9"/>
        </w:numPr>
        <w:spacing w:after="120"/>
        <w:rPr>
          <w:rFonts w:ascii="Arial" w:hAnsi="Arial" w:cs="Arial"/>
        </w:rPr>
      </w:pPr>
      <w:r w:rsidRPr="00FA7A61">
        <w:rPr>
          <w:rFonts w:ascii="Arial" w:hAnsi="Arial" w:cs="Arial"/>
        </w:rPr>
        <w:t xml:space="preserve">Les actes afférents aux constats d'achèvement, à la réception, à la levée de réserves et aux garanties, </w:t>
      </w:r>
    </w:p>
    <w:p w14:paraId="5B89DBB9" w14:textId="77777777" w:rsidR="00D277F3" w:rsidRPr="00FA7A61" w:rsidRDefault="00D277F3" w:rsidP="00C50CD4">
      <w:pPr>
        <w:pStyle w:val="Paragraphedeliste"/>
        <w:numPr>
          <w:ilvl w:val="0"/>
          <w:numId w:val="9"/>
        </w:numPr>
        <w:spacing w:after="120"/>
        <w:rPr>
          <w:rFonts w:ascii="Arial" w:hAnsi="Arial" w:cs="Arial"/>
        </w:rPr>
      </w:pPr>
      <w:r w:rsidRPr="00FA7A61">
        <w:rPr>
          <w:rFonts w:ascii="Arial" w:hAnsi="Arial" w:cs="Arial"/>
        </w:rPr>
        <w:t xml:space="preserve">Les mises en demeure et sanctions contractuelles. </w:t>
      </w:r>
    </w:p>
    <w:p w14:paraId="52BF1DB3" w14:textId="77777777" w:rsidR="00D277F3" w:rsidRPr="00FA7A61" w:rsidRDefault="00D277F3" w:rsidP="00C50CD4">
      <w:pPr>
        <w:spacing w:after="120"/>
        <w:rPr>
          <w:rFonts w:ascii="Arial" w:hAnsi="Arial" w:cs="Arial"/>
        </w:rPr>
      </w:pPr>
      <w:r w:rsidRPr="00FA7A61">
        <w:rPr>
          <w:rFonts w:ascii="Arial" w:hAnsi="Arial" w:cs="Arial"/>
        </w:rPr>
        <w:t>Il appartient au Titulaire, dès la notification du marché, de fournir une adresse mail valide et opérationnelle. En cas de groupement, les notifications se font au mandataire pour l’ensemble du groupement.</w:t>
      </w:r>
    </w:p>
    <w:p w14:paraId="08E33F89" w14:textId="0B2DA37D" w:rsidR="00D277F3" w:rsidRPr="00FA7A61" w:rsidRDefault="00D277F3" w:rsidP="00C50CD4">
      <w:pPr>
        <w:spacing w:after="120"/>
        <w:rPr>
          <w:rFonts w:ascii="Arial" w:hAnsi="Arial" w:cs="Arial"/>
          <w:b/>
          <w:bCs/>
        </w:rPr>
      </w:pPr>
      <w:r w:rsidRPr="00FA7A61">
        <w:rPr>
          <w:rFonts w:ascii="Arial" w:hAnsi="Arial" w:cs="Arial"/>
          <w:b/>
          <w:bCs/>
        </w:rPr>
        <w:t>A la notification du marché le Titulaire identifie une adresse électronique qui sera quotidiennement consultée en jours ouvrés.</w:t>
      </w:r>
    </w:p>
    <w:p w14:paraId="110926A4" w14:textId="77777777" w:rsidR="00D277F3" w:rsidRPr="00FA7A61" w:rsidRDefault="00D277F3" w:rsidP="00C50CD4">
      <w:pPr>
        <w:spacing w:after="120"/>
        <w:rPr>
          <w:rFonts w:ascii="Arial" w:hAnsi="Arial" w:cs="Arial"/>
        </w:rPr>
      </w:pPr>
      <w:r w:rsidRPr="00FA7A61">
        <w:rPr>
          <w:rFonts w:ascii="Arial" w:hAnsi="Arial" w:cs="Arial"/>
        </w:rPr>
        <w:t>Les délais associés à la notification d’un document ou d’une demande courent à compter du jour ouvré suivant le jour ouvré de l’envoi à la messagerie électronique identifiée par le Titulaire (date à laquelle il est contractuellement tenu d’avoir pris connaissance du contenu de l’envoi). La date de notification électronique fait alors foi.</w:t>
      </w:r>
    </w:p>
    <w:p w14:paraId="271C1A13" w14:textId="77777777" w:rsidR="00622969" w:rsidRPr="00FA7A61" w:rsidRDefault="00622969" w:rsidP="00C50CD4">
      <w:pPr>
        <w:spacing w:after="120"/>
        <w:rPr>
          <w:rFonts w:ascii="Arial" w:hAnsi="Arial" w:cs="Arial"/>
        </w:rPr>
      </w:pPr>
    </w:p>
    <w:p w14:paraId="7F22696D" w14:textId="6400B985" w:rsidR="00FA7A61" w:rsidRDefault="00FA7A61" w:rsidP="00FA7A61">
      <w:pPr>
        <w:pStyle w:val="Titre3"/>
        <w:numPr>
          <w:ilvl w:val="0"/>
          <w:numId w:val="8"/>
        </w:numPr>
        <w:tabs>
          <w:tab w:val="clear" w:pos="9072"/>
        </w:tabs>
        <w:spacing w:before="0" w:after="120" w:line="240" w:lineRule="auto"/>
        <w:rPr>
          <w:rFonts w:cs="Arial"/>
          <w:sz w:val="22"/>
          <w:szCs w:val="22"/>
        </w:rPr>
      </w:pPr>
      <w:r>
        <w:rPr>
          <w:rFonts w:cs="Arial"/>
          <w:sz w:val="22"/>
          <w:szCs w:val="22"/>
        </w:rPr>
        <w:t>Article 6.1 du CCAP</w:t>
      </w:r>
    </w:p>
    <w:p w14:paraId="384D7A0F" w14:textId="77777777" w:rsidR="00FA7A61" w:rsidRPr="00FA7A61" w:rsidRDefault="00FA7A61" w:rsidP="00FA7A61">
      <w:pPr>
        <w:spacing w:after="160" w:line="259" w:lineRule="auto"/>
        <w:rPr>
          <w:rFonts w:ascii="Arial" w:eastAsiaTheme="minorHAnsi" w:hAnsi="Arial"/>
          <w:lang w:eastAsia="en-US"/>
        </w:rPr>
      </w:pPr>
      <w:r w:rsidRPr="00FA7A61">
        <w:rPr>
          <w:rFonts w:ascii="Arial" w:eastAsiaTheme="minorHAnsi" w:hAnsi="Arial"/>
          <w:lang w:eastAsia="en-US"/>
        </w:rPr>
        <w:t>Le Titulaire du marché doit respecter toutes les clauses et les obligations environnementales stipulées dans les documents réglementaires et de bonnes pratiques.</w:t>
      </w:r>
    </w:p>
    <w:p w14:paraId="0F505497" w14:textId="77777777" w:rsidR="00FA7A61" w:rsidRPr="00FA7A61" w:rsidRDefault="00FA7A61" w:rsidP="00FA7A61">
      <w:pPr>
        <w:spacing w:after="160" w:line="259" w:lineRule="auto"/>
        <w:rPr>
          <w:rFonts w:ascii="Arial" w:eastAsiaTheme="minorHAnsi" w:hAnsi="Arial"/>
          <w:lang w:eastAsia="en-US"/>
        </w:rPr>
      </w:pPr>
      <w:r w:rsidRPr="00FA7A61">
        <w:rPr>
          <w:rFonts w:ascii="Arial" w:eastAsiaTheme="minorHAnsi" w:hAnsi="Arial"/>
          <w:b/>
          <w:lang w:eastAsia="en-US"/>
        </w:rPr>
        <w:t>Par dérogation à l’article 20.2 du CCAG</w:t>
      </w:r>
      <w:r w:rsidRPr="00FA7A61">
        <w:rPr>
          <w:rFonts w:ascii="Arial" w:eastAsiaTheme="minorHAnsi" w:hAnsi="Arial"/>
          <w:lang w:eastAsia="en-US"/>
        </w:rPr>
        <w:t xml:space="preserve">, cette clause obligatoire comporte les éléments particuliers suivants, contraignants dans le cadre de son exécution. : </w:t>
      </w:r>
    </w:p>
    <w:p w14:paraId="17C9CEBE" w14:textId="77777777" w:rsidR="00FA7A61" w:rsidRPr="00FA7A61" w:rsidRDefault="00FA7A61" w:rsidP="00FA7A61">
      <w:pPr>
        <w:numPr>
          <w:ilvl w:val="0"/>
          <w:numId w:val="25"/>
        </w:numPr>
        <w:spacing w:after="160" w:line="259" w:lineRule="auto"/>
        <w:contextualSpacing/>
        <w:rPr>
          <w:rFonts w:ascii="Arial" w:eastAsiaTheme="minorHAnsi" w:hAnsi="Arial"/>
          <w:lang w:eastAsia="en-US"/>
        </w:rPr>
      </w:pPr>
      <w:r w:rsidRPr="00FA7A61">
        <w:rPr>
          <w:rFonts w:ascii="Arial" w:eastAsiaTheme="minorHAnsi" w:hAnsi="Arial"/>
          <w:lang w:eastAsia="en-US"/>
        </w:rPr>
        <w:lastRenderedPageBreak/>
        <w:t>Dispositions spécifiques du CCTC et du CCTP ;</w:t>
      </w:r>
    </w:p>
    <w:p w14:paraId="340D171B" w14:textId="77777777" w:rsidR="00FA7A61" w:rsidRPr="00FA7A61" w:rsidRDefault="00FA7A61" w:rsidP="00FA7A61">
      <w:pPr>
        <w:numPr>
          <w:ilvl w:val="0"/>
          <w:numId w:val="25"/>
        </w:numPr>
        <w:spacing w:after="160" w:line="259" w:lineRule="auto"/>
        <w:contextualSpacing/>
        <w:rPr>
          <w:rFonts w:ascii="Arial" w:eastAsiaTheme="minorHAnsi" w:hAnsi="Arial"/>
          <w:lang w:eastAsia="en-US"/>
        </w:rPr>
      </w:pPr>
      <w:r w:rsidRPr="00FA7A61">
        <w:rPr>
          <w:rFonts w:ascii="Arial" w:eastAsiaTheme="minorHAnsi" w:hAnsi="Arial"/>
          <w:lang w:eastAsia="en-US"/>
        </w:rPr>
        <w:t xml:space="preserve"> Charte chantier propre ;</w:t>
      </w:r>
    </w:p>
    <w:p w14:paraId="753C369B" w14:textId="77777777" w:rsidR="00FA7A61" w:rsidRPr="00FA7A61" w:rsidRDefault="00FA7A61" w:rsidP="00FA7A61">
      <w:pPr>
        <w:numPr>
          <w:ilvl w:val="0"/>
          <w:numId w:val="25"/>
        </w:numPr>
        <w:spacing w:after="160" w:line="259" w:lineRule="auto"/>
        <w:contextualSpacing/>
        <w:rPr>
          <w:rFonts w:ascii="Arial" w:eastAsiaTheme="minorHAnsi" w:hAnsi="Arial"/>
          <w:lang w:eastAsia="en-US"/>
        </w:rPr>
      </w:pPr>
      <w:r w:rsidRPr="00FA7A61">
        <w:rPr>
          <w:rFonts w:ascii="Arial" w:eastAsiaTheme="minorHAnsi" w:hAnsi="Arial"/>
          <w:lang w:eastAsia="en-US"/>
        </w:rPr>
        <w:t>Calendrier universitaires cours et examens ;</w:t>
      </w:r>
    </w:p>
    <w:p w14:paraId="2207C34F" w14:textId="77777777" w:rsidR="00FA7A61" w:rsidRPr="00FA7A61" w:rsidRDefault="00FA7A61" w:rsidP="00FA7A61">
      <w:pPr>
        <w:numPr>
          <w:ilvl w:val="0"/>
          <w:numId w:val="25"/>
        </w:numPr>
        <w:spacing w:after="160" w:line="259" w:lineRule="auto"/>
        <w:contextualSpacing/>
        <w:rPr>
          <w:rFonts w:ascii="Arial" w:eastAsiaTheme="minorHAnsi" w:hAnsi="Arial"/>
          <w:lang w:eastAsia="en-US"/>
        </w:rPr>
      </w:pPr>
      <w:r w:rsidRPr="00FA7A61">
        <w:rPr>
          <w:rFonts w:ascii="Arial" w:eastAsiaTheme="minorHAnsi" w:hAnsi="Arial"/>
          <w:lang w:eastAsia="en-US"/>
        </w:rPr>
        <w:t>Schéma d’Organisation et de Gestion des déchets SOGED à établir nécessairement au cours de la période de préparation ;</w:t>
      </w:r>
    </w:p>
    <w:p w14:paraId="1EDC6FDD" w14:textId="77777777" w:rsidR="00FA7A61" w:rsidRPr="00FA7A61" w:rsidRDefault="00FA7A61" w:rsidP="00FA7A61">
      <w:pPr>
        <w:numPr>
          <w:ilvl w:val="0"/>
          <w:numId w:val="25"/>
        </w:numPr>
        <w:spacing w:after="160" w:line="259" w:lineRule="auto"/>
        <w:contextualSpacing/>
        <w:rPr>
          <w:rFonts w:ascii="Arial" w:eastAsiaTheme="minorHAnsi" w:hAnsi="Arial"/>
          <w:lang w:eastAsia="en-US"/>
        </w:rPr>
      </w:pPr>
      <w:r w:rsidRPr="00FA7A61">
        <w:rPr>
          <w:rFonts w:ascii="Arial" w:eastAsiaTheme="minorHAnsi" w:hAnsi="Arial"/>
          <w:lang w:eastAsia="en-US"/>
        </w:rPr>
        <w:t xml:space="preserve">Plan environnement établi par le Titulaire, spécifiant : </w:t>
      </w:r>
    </w:p>
    <w:p w14:paraId="09BC33AD" w14:textId="77777777" w:rsidR="00FA7A61" w:rsidRPr="00FA7A61" w:rsidRDefault="00FA7A61" w:rsidP="00FA7A61">
      <w:pPr>
        <w:numPr>
          <w:ilvl w:val="0"/>
          <w:numId w:val="26"/>
        </w:numPr>
        <w:spacing w:after="160" w:line="259" w:lineRule="auto"/>
        <w:contextualSpacing/>
        <w:rPr>
          <w:rFonts w:ascii="Arial" w:eastAsiaTheme="minorHAnsi" w:hAnsi="Arial"/>
          <w:lang w:eastAsia="en-US"/>
        </w:rPr>
      </w:pPr>
      <w:r w:rsidRPr="00FA7A61">
        <w:rPr>
          <w:rFonts w:ascii="Arial" w:eastAsiaTheme="minorHAnsi" w:hAnsi="Arial"/>
          <w:lang w:eastAsia="en-US"/>
        </w:rPr>
        <w:t>La description précise des travaux, de leur localisation, et des enjeux environnementaux spécifiques.</w:t>
      </w:r>
    </w:p>
    <w:p w14:paraId="141724C7" w14:textId="77777777" w:rsidR="00FA7A61" w:rsidRPr="00FA7A61" w:rsidRDefault="00FA7A61" w:rsidP="00FA7A61">
      <w:pPr>
        <w:numPr>
          <w:ilvl w:val="0"/>
          <w:numId w:val="26"/>
        </w:numPr>
        <w:spacing w:after="160" w:line="259" w:lineRule="auto"/>
        <w:contextualSpacing/>
        <w:rPr>
          <w:rFonts w:ascii="Arial" w:eastAsiaTheme="minorHAnsi" w:hAnsi="Arial"/>
          <w:lang w:eastAsia="en-US"/>
        </w:rPr>
      </w:pPr>
      <w:r w:rsidRPr="00FA7A61">
        <w:rPr>
          <w:rFonts w:ascii="Arial" w:eastAsiaTheme="minorHAnsi" w:hAnsi="Arial"/>
          <w:lang w:eastAsia="en-US"/>
        </w:rPr>
        <w:t>L’analyse des impacts environnementaux : identification des risques et des effets potentiels des travaux sur l’environnement (sol, air, eau, biodiversité, etc.).</w:t>
      </w:r>
    </w:p>
    <w:p w14:paraId="56EAB138" w14:textId="77777777" w:rsidR="00FA7A61" w:rsidRPr="00FA7A61" w:rsidRDefault="00FA7A61" w:rsidP="00FA7A61">
      <w:pPr>
        <w:numPr>
          <w:ilvl w:val="0"/>
          <w:numId w:val="26"/>
        </w:numPr>
        <w:spacing w:after="160" w:line="259" w:lineRule="auto"/>
        <w:contextualSpacing/>
        <w:rPr>
          <w:rFonts w:ascii="Arial" w:eastAsiaTheme="minorHAnsi" w:hAnsi="Arial"/>
          <w:lang w:eastAsia="en-US"/>
        </w:rPr>
      </w:pPr>
      <w:r w:rsidRPr="00FA7A61">
        <w:rPr>
          <w:rFonts w:ascii="Arial" w:eastAsiaTheme="minorHAnsi" w:hAnsi="Arial"/>
          <w:lang w:eastAsia="en-US"/>
        </w:rPr>
        <w:t>Les mesures de prévention et de réduction : actions prévues pour limiter les impacts négatifs, comme la gestion des déchets, la réduction du bruit, la protection de la faune et de la flore, etc.</w:t>
      </w:r>
    </w:p>
    <w:p w14:paraId="049DA3C3" w14:textId="77777777" w:rsidR="00FA7A61" w:rsidRPr="00FA7A61" w:rsidRDefault="00FA7A61" w:rsidP="00FA7A61">
      <w:pPr>
        <w:numPr>
          <w:ilvl w:val="0"/>
          <w:numId w:val="26"/>
        </w:numPr>
        <w:spacing w:after="160" w:line="259" w:lineRule="auto"/>
        <w:contextualSpacing/>
        <w:rPr>
          <w:rFonts w:ascii="Arial" w:eastAsiaTheme="minorHAnsi" w:hAnsi="Arial"/>
          <w:lang w:eastAsia="en-US"/>
        </w:rPr>
      </w:pPr>
      <w:r w:rsidRPr="00FA7A61">
        <w:rPr>
          <w:rFonts w:ascii="Arial" w:eastAsiaTheme="minorHAnsi" w:hAnsi="Arial"/>
          <w:lang w:eastAsia="en-US"/>
        </w:rPr>
        <w:t>La gestion des déchets : planification de la collecte, du tri, du stockage et de l’élimination des déchets générés.</w:t>
      </w:r>
    </w:p>
    <w:p w14:paraId="2EA03154" w14:textId="0DEC62AD" w:rsidR="00FA7A61" w:rsidRPr="00FA7A61" w:rsidRDefault="00FA7A61" w:rsidP="00FA7A61">
      <w:pPr>
        <w:numPr>
          <w:ilvl w:val="0"/>
          <w:numId w:val="26"/>
        </w:numPr>
        <w:spacing w:after="160" w:line="259" w:lineRule="auto"/>
        <w:contextualSpacing/>
        <w:rPr>
          <w:rFonts w:ascii="Arial" w:eastAsiaTheme="minorHAnsi" w:hAnsi="Arial"/>
          <w:lang w:eastAsia="en-US"/>
        </w:rPr>
      </w:pPr>
      <w:r w:rsidRPr="00FA7A61">
        <w:rPr>
          <w:rFonts w:ascii="Arial" w:eastAsiaTheme="minorHAnsi" w:hAnsi="Arial"/>
          <w:lang w:eastAsia="en-US"/>
        </w:rPr>
        <w:t>Les mesures de suivi et de contrôle : modalités pour surveiller l’efficacité des mesures environnementales, avec éventuellement des indicateurs de performance.</w:t>
      </w:r>
    </w:p>
    <w:p w14:paraId="529133EA" w14:textId="43110821" w:rsidR="00FA7A61" w:rsidRPr="00FA7A61" w:rsidRDefault="00FA7A61" w:rsidP="00FA7A61">
      <w:pPr>
        <w:numPr>
          <w:ilvl w:val="0"/>
          <w:numId w:val="26"/>
        </w:numPr>
        <w:spacing w:after="160" w:line="259" w:lineRule="auto"/>
        <w:contextualSpacing/>
        <w:rPr>
          <w:rFonts w:ascii="Arial" w:eastAsiaTheme="minorHAnsi" w:hAnsi="Arial"/>
          <w:lang w:eastAsia="en-US"/>
        </w:rPr>
      </w:pPr>
      <w:r w:rsidRPr="00FA7A61">
        <w:rPr>
          <w:rFonts w:ascii="Arial" w:eastAsiaTheme="minorHAnsi" w:hAnsi="Arial"/>
          <w:lang w:eastAsia="en-US"/>
        </w:rPr>
        <w:t>Le plan de gestion des risques : procédures en cas d’incident ou de déversement accidentel, pour limiter les dégâts.</w:t>
      </w:r>
    </w:p>
    <w:p w14:paraId="27816E07" w14:textId="47350763" w:rsidR="00FA7A61" w:rsidRPr="00FA7A61" w:rsidRDefault="00FA7A61" w:rsidP="00FA7A61">
      <w:pPr>
        <w:numPr>
          <w:ilvl w:val="0"/>
          <w:numId w:val="26"/>
        </w:numPr>
        <w:spacing w:after="160" w:line="259" w:lineRule="auto"/>
        <w:contextualSpacing/>
        <w:rPr>
          <w:rFonts w:ascii="Arial" w:eastAsiaTheme="minorHAnsi" w:hAnsi="Arial"/>
          <w:lang w:eastAsia="en-US"/>
        </w:rPr>
      </w:pPr>
      <w:r w:rsidRPr="00FA7A61">
        <w:rPr>
          <w:rFonts w:ascii="Arial" w:eastAsiaTheme="minorHAnsi" w:hAnsi="Arial"/>
          <w:lang w:eastAsia="en-US"/>
        </w:rPr>
        <w:t>Les formations et sensibilisations : actions pour informer et former le personnel sur les bonnes pratiques environnementales.</w:t>
      </w:r>
    </w:p>
    <w:p w14:paraId="2B66CA1A" w14:textId="77777777" w:rsidR="00FA7A61" w:rsidRPr="00FA7A61" w:rsidRDefault="00FA7A61" w:rsidP="00FA7A61">
      <w:pPr>
        <w:numPr>
          <w:ilvl w:val="0"/>
          <w:numId w:val="26"/>
        </w:numPr>
        <w:spacing w:after="160" w:line="259" w:lineRule="auto"/>
        <w:contextualSpacing/>
        <w:rPr>
          <w:rFonts w:ascii="Arial" w:eastAsiaTheme="minorHAnsi" w:hAnsi="Arial"/>
          <w:lang w:eastAsia="en-US"/>
        </w:rPr>
      </w:pPr>
      <w:r w:rsidRPr="00FA7A61">
        <w:rPr>
          <w:rFonts w:ascii="Arial" w:eastAsiaTheme="minorHAnsi" w:hAnsi="Arial"/>
          <w:lang w:eastAsia="en-US"/>
        </w:rPr>
        <w:t>Engagements et responsabilités : précisions sur les obligations du titulaire en matière de respect des normes environnementales.</w:t>
      </w:r>
    </w:p>
    <w:p w14:paraId="21640CD5" w14:textId="77777777" w:rsidR="00FA7A61" w:rsidRPr="00FA7A61" w:rsidRDefault="00FA7A61" w:rsidP="00FA7A61">
      <w:pPr>
        <w:numPr>
          <w:ilvl w:val="0"/>
          <w:numId w:val="25"/>
        </w:numPr>
        <w:spacing w:after="160" w:line="259" w:lineRule="auto"/>
        <w:contextualSpacing/>
        <w:rPr>
          <w:rFonts w:ascii="Arial" w:eastAsiaTheme="minorHAnsi" w:hAnsi="Arial"/>
          <w:lang w:eastAsia="en-US"/>
        </w:rPr>
      </w:pPr>
      <w:r w:rsidRPr="00FA7A61">
        <w:rPr>
          <w:rFonts w:ascii="Arial" w:eastAsiaTheme="minorHAnsi" w:hAnsi="Arial"/>
          <w:lang w:eastAsia="en-US"/>
        </w:rPr>
        <w:t>Etc.</w:t>
      </w:r>
    </w:p>
    <w:p w14:paraId="164D0280" w14:textId="77777777" w:rsidR="00FA7A61" w:rsidRPr="00FA7A61" w:rsidRDefault="00FA7A61" w:rsidP="00FA7A61">
      <w:pPr>
        <w:spacing w:after="160" w:line="259" w:lineRule="auto"/>
        <w:rPr>
          <w:rFonts w:ascii="Arial" w:eastAsiaTheme="minorHAnsi" w:hAnsi="Arial"/>
          <w:lang w:eastAsia="en-US"/>
        </w:rPr>
      </w:pPr>
      <w:r w:rsidRPr="00FA7A61">
        <w:rPr>
          <w:rFonts w:ascii="Arial" w:eastAsiaTheme="minorHAnsi" w:hAnsi="Arial"/>
          <w:lang w:eastAsia="en-US"/>
        </w:rPr>
        <w:t>Le Titulaire s'assure du respect par ses cotraitants, sous-traitants et de ses fournisseurs de ces obligations environnementales.</w:t>
      </w:r>
    </w:p>
    <w:p w14:paraId="12675485" w14:textId="195FD1FD" w:rsidR="00FA7A61" w:rsidRPr="00FA7A61" w:rsidRDefault="00FA7A61" w:rsidP="00FA7A61">
      <w:pPr>
        <w:pStyle w:val="Titre3"/>
        <w:numPr>
          <w:ilvl w:val="0"/>
          <w:numId w:val="0"/>
        </w:numPr>
        <w:tabs>
          <w:tab w:val="clear" w:pos="9072"/>
        </w:tabs>
        <w:spacing w:before="0" w:after="120" w:line="240" w:lineRule="auto"/>
        <w:rPr>
          <w:rFonts w:cs="Arial"/>
          <w:sz w:val="22"/>
          <w:szCs w:val="22"/>
        </w:rPr>
      </w:pPr>
    </w:p>
    <w:p w14:paraId="1FF0A389" w14:textId="464B4478" w:rsidR="00FA7A61" w:rsidRDefault="00FA7A61" w:rsidP="00C50CD4">
      <w:pPr>
        <w:spacing w:after="120"/>
        <w:rPr>
          <w:rFonts w:ascii="Arial" w:hAnsi="Arial" w:cs="Arial"/>
        </w:rPr>
      </w:pPr>
    </w:p>
    <w:p w14:paraId="508E9CC3" w14:textId="77777777" w:rsidR="00FA7A61" w:rsidRDefault="00FA7A61" w:rsidP="00C50CD4">
      <w:pPr>
        <w:spacing w:after="120"/>
        <w:rPr>
          <w:rFonts w:ascii="Arial" w:hAnsi="Arial" w:cs="Arial"/>
        </w:rPr>
      </w:pPr>
    </w:p>
    <w:p w14:paraId="3F681E97" w14:textId="77777777" w:rsidR="00FA7A61" w:rsidRDefault="00FA7A61" w:rsidP="00C50CD4">
      <w:pPr>
        <w:spacing w:after="120"/>
        <w:rPr>
          <w:rFonts w:ascii="Arial" w:hAnsi="Arial" w:cs="Arial"/>
        </w:rPr>
      </w:pPr>
    </w:p>
    <w:p w14:paraId="69AF9275" w14:textId="6DBE7A56" w:rsidR="00D277F3" w:rsidRPr="00FA7A61" w:rsidRDefault="00D277F3" w:rsidP="00C50CD4">
      <w:pPr>
        <w:spacing w:after="120"/>
        <w:rPr>
          <w:rFonts w:ascii="Arial" w:hAnsi="Arial" w:cs="Arial"/>
        </w:rPr>
      </w:pPr>
      <w:r w:rsidRPr="00FA7A61">
        <w:rPr>
          <w:rFonts w:ascii="Arial" w:hAnsi="Arial" w:cs="Arial"/>
        </w:rPr>
        <w:t xml:space="preserve">Le titulaire peut émettre des observations, ou réserves, dûment motivées sur les ordres de service, que ceux-ci soient émis par le maître d’ouvrage ou par le maître d’œuvre. </w:t>
      </w:r>
      <w:r w:rsidRPr="00FA7A61">
        <w:rPr>
          <w:rFonts w:ascii="Arial" w:hAnsi="Arial" w:cs="Arial"/>
          <w:b/>
          <w:bCs/>
        </w:rPr>
        <w:t xml:space="preserve">En précision de </w:t>
      </w:r>
      <w:r w:rsidRPr="00FA7A61">
        <w:rPr>
          <w:rFonts w:ascii="Arial" w:hAnsi="Arial" w:cs="Arial"/>
          <w:b/>
          <w:color w:val="FF0000"/>
        </w:rPr>
        <w:t>l’article 3.8.2</w:t>
      </w:r>
      <w:r w:rsidRPr="00FA7A61">
        <w:rPr>
          <w:rFonts w:ascii="Arial" w:hAnsi="Arial" w:cs="Arial"/>
          <w:b/>
          <w:bCs/>
        </w:rPr>
        <w:t xml:space="preserve"> du CCAG Travaux, la formalisation des observations et des réserves doivent permettre de caractériser les motifs dans leur origine et leur impact, notamment calendaire et financier</w:t>
      </w:r>
      <w:r w:rsidRPr="00FA7A61">
        <w:rPr>
          <w:rFonts w:ascii="Arial" w:hAnsi="Arial" w:cs="Arial"/>
        </w:rPr>
        <w:t>.</w:t>
      </w:r>
    </w:p>
    <w:p w14:paraId="02193DB4" w14:textId="1E4BAA30" w:rsidR="00D277F3" w:rsidRPr="00FA7A61" w:rsidRDefault="001327D2" w:rsidP="00C50CD4">
      <w:pPr>
        <w:spacing w:after="120"/>
        <w:rPr>
          <w:rFonts w:ascii="Arial" w:hAnsi="Arial" w:cs="Arial"/>
        </w:rPr>
      </w:pPr>
      <w:r w:rsidRPr="00FA7A61">
        <w:rPr>
          <w:rFonts w:ascii="Arial" w:hAnsi="Arial" w:cs="Arial"/>
        </w:rPr>
        <w:t>Ordre de priorité des pièces du marché</w:t>
      </w:r>
    </w:p>
    <w:p w14:paraId="57CCB167" w14:textId="07C68166" w:rsidR="00C50CD4" w:rsidRPr="00FA7A61" w:rsidRDefault="00C50CD4" w:rsidP="00C50CD4">
      <w:pPr>
        <w:spacing w:after="120"/>
        <w:rPr>
          <w:rFonts w:ascii="Arial" w:hAnsi="Arial" w:cs="Arial"/>
        </w:rPr>
      </w:pPr>
      <w:r w:rsidRPr="00FA7A61">
        <w:rPr>
          <w:rFonts w:ascii="Arial" w:hAnsi="Arial" w:cs="Arial"/>
        </w:rPr>
        <w:t>- AE</w:t>
      </w:r>
    </w:p>
    <w:p w14:paraId="1D60C0F7" w14:textId="7F010639" w:rsidR="001327D2" w:rsidRPr="00FA7A61" w:rsidRDefault="001327D2" w:rsidP="00C50CD4">
      <w:pPr>
        <w:spacing w:after="120"/>
        <w:rPr>
          <w:rFonts w:ascii="Arial" w:hAnsi="Arial" w:cs="Arial"/>
        </w:rPr>
      </w:pPr>
      <w:r w:rsidRPr="00FA7A61">
        <w:rPr>
          <w:rFonts w:ascii="Arial" w:hAnsi="Arial" w:cs="Arial"/>
        </w:rPr>
        <w:t>- CCAP</w:t>
      </w:r>
      <w:r w:rsidR="00C50CD4" w:rsidRPr="00FA7A61">
        <w:rPr>
          <w:rFonts w:ascii="Arial" w:hAnsi="Arial" w:cs="Arial"/>
        </w:rPr>
        <w:t xml:space="preserve"> et ses annexes</w:t>
      </w:r>
    </w:p>
    <w:p w14:paraId="23D77B68" w14:textId="18055108" w:rsidR="001327D2" w:rsidRPr="00FA7A61" w:rsidRDefault="001327D2" w:rsidP="00C50CD4">
      <w:pPr>
        <w:spacing w:after="120"/>
        <w:rPr>
          <w:rFonts w:ascii="Arial" w:hAnsi="Arial" w:cs="Arial"/>
        </w:rPr>
      </w:pPr>
      <w:r w:rsidRPr="00FA7A61">
        <w:rPr>
          <w:rFonts w:ascii="Arial" w:hAnsi="Arial" w:cs="Arial"/>
        </w:rPr>
        <w:t>- CCTC</w:t>
      </w:r>
      <w:r w:rsidR="00C50CD4" w:rsidRPr="00FA7A61">
        <w:rPr>
          <w:rFonts w:ascii="Arial" w:hAnsi="Arial" w:cs="Arial"/>
        </w:rPr>
        <w:t xml:space="preserve"> et ses annexes</w:t>
      </w:r>
    </w:p>
    <w:p w14:paraId="1CA60DB0" w14:textId="77777777" w:rsidR="001327D2" w:rsidRPr="00FA7A61" w:rsidRDefault="001327D2" w:rsidP="00C50CD4">
      <w:pPr>
        <w:spacing w:after="120"/>
        <w:rPr>
          <w:rFonts w:ascii="Arial" w:hAnsi="Arial" w:cs="Arial"/>
        </w:rPr>
      </w:pPr>
      <w:r w:rsidRPr="00FA7A61">
        <w:rPr>
          <w:rFonts w:ascii="Arial" w:hAnsi="Arial" w:cs="Arial"/>
        </w:rPr>
        <w:t>- CCTP et BPU</w:t>
      </w:r>
    </w:p>
    <w:p w14:paraId="2967E8AA" w14:textId="77777777" w:rsidR="001327D2" w:rsidRPr="00FA7A61" w:rsidRDefault="001327D2" w:rsidP="00C50CD4">
      <w:pPr>
        <w:spacing w:after="120"/>
        <w:rPr>
          <w:rFonts w:ascii="Arial" w:hAnsi="Arial" w:cs="Arial"/>
        </w:rPr>
      </w:pPr>
      <w:r w:rsidRPr="00FA7A61">
        <w:rPr>
          <w:rFonts w:ascii="Arial" w:hAnsi="Arial" w:cs="Arial"/>
        </w:rPr>
        <w:t>- Charte chantier propre</w:t>
      </w:r>
    </w:p>
    <w:p w14:paraId="12557F6D" w14:textId="77777777" w:rsidR="001327D2" w:rsidRPr="00FA7A61" w:rsidRDefault="001327D2" w:rsidP="00C50CD4">
      <w:pPr>
        <w:spacing w:after="120"/>
        <w:rPr>
          <w:rFonts w:ascii="Arial" w:hAnsi="Arial" w:cs="Arial"/>
        </w:rPr>
      </w:pPr>
      <w:r w:rsidRPr="00FA7A61">
        <w:rPr>
          <w:rFonts w:ascii="Arial" w:hAnsi="Arial" w:cs="Arial"/>
        </w:rPr>
        <w:t>- CCAG</w:t>
      </w:r>
    </w:p>
    <w:p w14:paraId="0BA7261E" w14:textId="64E93F4C" w:rsidR="000F2CFF" w:rsidRPr="00FA7A61" w:rsidRDefault="000F2CFF" w:rsidP="00C50CD4">
      <w:pPr>
        <w:spacing w:after="120"/>
        <w:rPr>
          <w:rFonts w:ascii="Arial" w:hAnsi="Arial" w:cs="Arial"/>
        </w:rPr>
      </w:pPr>
    </w:p>
    <w:p w14:paraId="27FA854A" w14:textId="4F6C2BA0" w:rsidR="00D62FE0" w:rsidRPr="00FA7A61" w:rsidRDefault="001612FF" w:rsidP="00D62FE0">
      <w:pPr>
        <w:pStyle w:val="Titre3"/>
        <w:numPr>
          <w:ilvl w:val="0"/>
          <w:numId w:val="8"/>
        </w:numPr>
        <w:tabs>
          <w:tab w:val="clear" w:pos="9072"/>
        </w:tabs>
        <w:spacing w:before="0" w:after="120" w:line="240" w:lineRule="auto"/>
        <w:rPr>
          <w:rFonts w:cs="Arial"/>
          <w:sz w:val="22"/>
          <w:szCs w:val="22"/>
        </w:rPr>
      </w:pPr>
      <w:r>
        <w:rPr>
          <w:rFonts w:cs="Arial"/>
          <w:sz w:val="22"/>
          <w:szCs w:val="22"/>
        </w:rPr>
        <w:lastRenderedPageBreak/>
        <w:t>Article 7.2.2 du CCAP</w:t>
      </w:r>
    </w:p>
    <w:p w14:paraId="3DD5E547" w14:textId="7EDBB72B" w:rsidR="001612FF" w:rsidRDefault="001612FF" w:rsidP="00D62FE0">
      <w:pPr>
        <w:spacing w:after="120"/>
        <w:rPr>
          <w:rFonts w:ascii="Arial" w:hAnsi="Arial" w:cs="Arial"/>
        </w:rPr>
      </w:pPr>
      <w:r w:rsidRPr="001612FF">
        <w:rPr>
          <w:rFonts w:ascii="Arial" w:hAnsi="Arial" w:cs="Arial"/>
        </w:rPr>
        <w:t>Par dérogation à l’article 14 du CCAG relatif au règlement du prix des prestations supplémentaires, il est précisé que certains ordres de services ne comportant pas de demande de prestation supplémentaire ou modificative ne seront pas valorisés. Ces ordres de services viseront uniquement à préciser une modalité d’exécution, formaliser la transmission d’une information. Ils seront explicitement identifiés.</w:t>
      </w:r>
    </w:p>
    <w:p w14:paraId="37F4D772" w14:textId="0B94613A" w:rsidR="00266980" w:rsidRPr="00FA7A61" w:rsidRDefault="00266980" w:rsidP="00D62FE0">
      <w:pPr>
        <w:spacing w:after="120"/>
        <w:rPr>
          <w:rFonts w:ascii="Arial" w:hAnsi="Arial" w:cs="Arial"/>
        </w:rPr>
      </w:pPr>
    </w:p>
    <w:p w14:paraId="668E69FD" w14:textId="6F7D8ADD" w:rsidR="008B3392" w:rsidRPr="00FA7A61" w:rsidRDefault="001612FF" w:rsidP="008B3392">
      <w:pPr>
        <w:pStyle w:val="Titre3"/>
        <w:numPr>
          <w:ilvl w:val="0"/>
          <w:numId w:val="8"/>
        </w:numPr>
        <w:tabs>
          <w:tab w:val="clear" w:pos="9072"/>
        </w:tabs>
        <w:spacing w:before="0" w:after="120" w:line="240" w:lineRule="auto"/>
        <w:rPr>
          <w:rFonts w:cs="Arial"/>
          <w:sz w:val="22"/>
          <w:szCs w:val="22"/>
        </w:rPr>
      </w:pPr>
      <w:r>
        <w:rPr>
          <w:rFonts w:cs="Arial"/>
          <w:sz w:val="22"/>
          <w:szCs w:val="22"/>
        </w:rPr>
        <w:t>Article 7.2.3 du CCAP</w:t>
      </w:r>
    </w:p>
    <w:p w14:paraId="1B09EB23" w14:textId="4F3E13EA" w:rsidR="008B3392" w:rsidRDefault="008B3392" w:rsidP="00D62FE0">
      <w:pPr>
        <w:spacing w:after="120"/>
        <w:rPr>
          <w:rFonts w:ascii="Arial" w:hAnsi="Arial" w:cs="Arial"/>
        </w:rPr>
      </w:pPr>
    </w:p>
    <w:p w14:paraId="28ED8626" w14:textId="77777777" w:rsidR="001612FF" w:rsidRPr="001612FF" w:rsidRDefault="001612FF" w:rsidP="001612FF">
      <w:pPr>
        <w:spacing w:after="160" w:line="259" w:lineRule="auto"/>
        <w:rPr>
          <w:rFonts w:ascii="Arial" w:eastAsiaTheme="minorHAnsi" w:hAnsi="Arial"/>
          <w:lang w:eastAsia="en-US"/>
        </w:rPr>
      </w:pPr>
      <w:r w:rsidRPr="001612FF">
        <w:rPr>
          <w:rFonts w:ascii="Arial" w:eastAsiaTheme="minorHAnsi" w:hAnsi="Arial"/>
          <w:b/>
          <w:lang w:eastAsia="en-US"/>
        </w:rPr>
        <w:t>Par dérogation à l’article 13.5 du CCAG</w:t>
      </w:r>
      <w:r w:rsidRPr="001612FF">
        <w:rPr>
          <w:rFonts w:ascii="Arial" w:eastAsiaTheme="minorHAnsi" w:hAnsi="Arial"/>
          <w:lang w:eastAsia="en-US"/>
        </w:rPr>
        <w:t>, aucun délai spécifique ne s’applique s’agissant des ordres de service de détermination des prix des prestations supplémentaires ou modificatives avec incidence financière, les observations ou réserves doivent être formulées dans un délai commun de 15 jours. A défaut d’observations motivées, le titulaire est réputé avoir consenti aux prescriptions qui en découlent.</w:t>
      </w:r>
    </w:p>
    <w:p w14:paraId="3B402CAF" w14:textId="77777777" w:rsidR="001612FF" w:rsidRPr="001612FF" w:rsidRDefault="001612FF" w:rsidP="001612FF">
      <w:pPr>
        <w:spacing w:after="160" w:line="259" w:lineRule="auto"/>
        <w:rPr>
          <w:rFonts w:ascii="Arial" w:eastAsiaTheme="minorHAnsi" w:hAnsi="Arial"/>
          <w:lang w:eastAsia="en-US"/>
        </w:rPr>
      </w:pPr>
      <w:r w:rsidRPr="001612FF">
        <w:rPr>
          <w:rFonts w:ascii="Arial" w:eastAsiaTheme="minorHAnsi" w:hAnsi="Arial"/>
          <w:lang w:eastAsia="en-US"/>
        </w:rPr>
        <w:t xml:space="preserve">Les observations sur les ordres de service sont en toute hypothèse notifiée à ces deux parties </w:t>
      </w:r>
      <w:r w:rsidRPr="001612FF">
        <w:rPr>
          <w:rFonts w:ascii="Arial" w:eastAsiaTheme="minorHAnsi" w:hAnsi="Arial"/>
          <w:b/>
          <w:lang w:eastAsia="en-US"/>
        </w:rPr>
        <w:t>par dérogation au formalisme prévu à l’article 3.8.2 du CCAG Travaux</w:t>
      </w:r>
      <w:r w:rsidRPr="001612FF">
        <w:rPr>
          <w:rFonts w:ascii="Arial" w:eastAsiaTheme="minorHAnsi" w:hAnsi="Arial"/>
          <w:lang w:eastAsia="en-US"/>
        </w:rPr>
        <w:t xml:space="preserve"> :</w:t>
      </w:r>
    </w:p>
    <w:p w14:paraId="27FF027D" w14:textId="77777777" w:rsidR="001612FF" w:rsidRPr="001612FF" w:rsidRDefault="001612FF" w:rsidP="001612FF">
      <w:pPr>
        <w:numPr>
          <w:ilvl w:val="0"/>
          <w:numId w:val="25"/>
        </w:numPr>
        <w:spacing w:after="160" w:line="259" w:lineRule="auto"/>
        <w:contextualSpacing/>
        <w:rPr>
          <w:rFonts w:ascii="Arial" w:eastAsiaTheme="minorHAnsi" w:hAnsi="Arial"/>
          <w:lang w:eastAsia="en-US"/>
        </w:rPr>
      </w:pPr>
      <w:r w:rsidRPr="001612FF">
        <w:rPr>
          <w:rFonts w:ascii="Arial" w:eastAsiaTheme="minorHAnsi" w:hAnsi="Arial"/>
          <w:lang w:eastAsia="en-US"/>
        </w:rPr>
        <w:t>Notification des observations à la maîtrise d’ouvrage, l’Université Paris Nanterre.</w:t>
      </w:r>
    </w:p>
    <w:p w14:paraId="1B8ECF60" w14:textId="77777777" w:rsidR="001612FF" w:rsidRPr="00FA7A61" w:rsidRDefault="001612FF" w:rsidP="00D62FE0">
      <w:pPr>
        <w:spacing w:after="120"/>
        <w:rPr>
          <w:rFonts w:ascii="Arial" w:hAnsi="Arial" w:cs="Arial"/>
        </w:rPr>
      </w:pPr>
    </w:p>
    <w:p w14:paraId="3329ACE9" w14:textId="0D836F6F" w:rsidR="008B3392" w:rsidRPr="001612FF" w:rsidRDefault="001612FF" w:rsidP="001612FF">
      <w:pPr>
        <w:pStyle w:val="Paragraphedeliste"/>
        <w:numPr>
          <w:ilvl w:val="0"/>
          <w:numId w:val="8"/>
        </w:numPr>
        <w:spacing w:after="120"/>
        <w:rPr>
          <w:rFonts w:ascii="Arial" w:hAnsi="Arial" w:cs="Arial"/>
        </w:rPr>
      </w:pPr>
      <w:bookmarkStart w:id="0" w:name="_Toc189937354"/>
      <w:r>
        <w:rPr>
          <w:rFonts w:ascii="Arial" w:hAnsi="Arial" w:cs="Arial"/>
        </w:rPr>
        <w:t xml:space="preserve">Article 10.7.2 CCAP </w:t>
      </w:r>
      <w:r w:rsidR="008B3392" w:rsidRPr="001612FF">
        <w:rPr>
          <w:rFonts w:ascii="Arial" w:hAnsi="Arial" w:cs="Arial"/>
        </w:rPr>
        <w:t>Constats préalables</w:t>
      </w:r>
      <w:bookmarkEnd w:id="0"/>
    </w:p>
    <w:p w14:paraId="60DB3265" w14:textId="77777777" w:rsidR="008B3392" w:rsidRPr="00FA7A61" w:rsidRDefault="008B3392" w:rsidP="008B3392">
      <w:pPr>
        <w:spacing w:after="120"/>
        <w:rPr>
          <w:rFonts w:ascii="Arial" w:hAnsi="Arial" w:cs="Arial"/>
        </w:rPr>
      </w:pPr>
      <w:r w:rsidRPr="00FA7A61">
        <w:rPr>
          <w:rFonts w:ascii="Arial" w:hAnsi="Arial" w:cs="Arial"/>
        </w:rPr>
        <w:t xml:space="preserve">Au sens du présent article, la constatation est une opération matérielle et le constat est le document qui en résulte. </w:t>
      </w:r>
    </w:p>
    <w:p w14:paraId="54293F08" w14:textId="77777777" w:rsidR="008B3392" w:rsidRPr="00FA7A61" w:rsidRDefault="008B3392" w:rsidP="008B3392">
      <w:pPr>
        <w:spacing w:after="120"/>
        <w:rPr>
          <w:rFonts w:ascii="Arial" w:hAnsi="Arial" w:cs="Arial"/>
        </w:rPr>
      </w:pPr>
      <w:r w:rsidRPr="00FA7A61">
        <w:rPr>
          <w:rFonts w:ascii="Arial" w:hAnsi="Arial" w:cs="Arial"/>
        </w:rPr>
        <w:t xml:space="preserve">Avant que le Titulaire ne présente sa demande de paiement, conformément à l’article 2.2.3.1 supra, il est procédé par le représentant de la maîtrise d’œuvre -Université Paris Nanterre- à la constatation, contradictoirement avec le Titulaire, de l’état d’avancement des prestations effectuées, ainsi que précisé à l’article 11 du CCAG-Travaux. </w:t>
      </w:r>
    </w:p>
    <w:p w14:paraId="4D63F6CA" w14:textId="77777777" w:rsidR="008B3392" w:rsidRPr="00FA7A61" w:rsidRDefault="008B3392" w:rsidP="008B3392">
      <w:pPr>
        <w:spacing w:after="120"/>
        <w:rPr>
          <w:rFonts w:ascii="Arial" w:hAnsi="Arial" w:cs="Arial"/>
        </w:rPr>
      </w:pPr>
      <w:r w:rsidRPr="00FA7A61">
        <w:rPr>
          <w:rFonts w:ascii="Arial" w:hAnsi="Arial" w:cs="Arial"/>
        </w:rPr>
        <w:t xml:space="preserve">Par dérogation à l’article 12.1.1 du CCAG-Travaux, il est procédé à l’établissement de ce constat à la date fixée par l’avis de constat adressé par la maîtrise d’œuvre -Université Paris Nanterre- au plus tard 8 jours ouvrables avant chaque échéance périodique. </w:t>
      </w:r>
    </w:p>
    <w:p w14:paraId="0EFF77E8" w14:textId="77777777" w:rsidR="008B3392" w:rsidRPr="00FA7A61" w:rsidRDefault="008B3392" w:rsidP="008B3392">
      <w:pPr>
        <w:spacing w:after="120"/>
        <w:rPr>
          <w:rFonts w:ascii="Arial" w:hAnsi="Arial" w:cs="Arial"/>
        </w:rPr>
      </w:pPr>
      <w:r w:rsidRPr="00FA7A61">
        <w:rPr>
          <w:rFonts w:ascii="Arial" w:hAnsi="Arial" w:cs="Arial"/>
        </w:rPr>
        <w:t xml:space="preserve">Par dérogation à </w:t>
      </w:r>
      <w:r w:rsidRPr="00FA7A61">
        <w:rPr>
          <w:rFonts w:ascii="Arial" w:hAnsi="Arial" w:cs="Arial"/>
          <w:b/>
          <w:color w:val="FF0000"/>
        </w:rPr>
        <w:t>l’article 11.4 du CCAG-Travaux</w:t>
      </w:r>
      <w:r w:rsidRPr="00FA7A61">
        <w:rPr>
          <w:rFonts w:ascii="Arial" w:hAnsi="Arial" w:cs="Arial"/>
        </w:rPr>
        <w:t xml:space="preserve">, il est précisé que les constatations contradictoires de l’état d’avancement des prestations sont effectuées lors des réunions de chantier. </w:t>
      </w:r>
    </w:p>
    <w:p w14:paraId="79A7AE8F" w14:textId="77777777" w:rsidR="008B3392" w:rsidRPr="00FA7A61" w:rsidRDefault="008B3392" w:rsidP="008B3392">
      <w:pPr>
        <w:spacing w:after="120"/>
        <w:rPr>
          <w:rFonts w:ascii="Arial" w:hAnsi="Arial" w:cs="Arial"/>
        </w:rPr>
      </w:pPr>
      <w:r w:rsidRPr="00FA7A61">
        <w:rPr>
          <w:rFonts w:ascii="Arial" w:hAnsi="Arial" w:cs="Arial"/>
        </w:rPr>
        <w:t xml:space="preserve">Par dérogation à </w:t>
      </w:r>
      <w:r w:rsidRPr="00FA7A61">
        <w:rPr>
          <w:rFonts w:ascii="Arial" w:hAnsi="Arial" w:cs="Arial"/>
          <w:b/>
          <w:color w:val="FF0000"/>
        </w:rPr>
        <w:t>l’article 11.6 du CCAG-Travaux</w:t>
      </w:r>
      <w:r w:rsidRPr="00FA7A61">
        <w:rPr>
          <w:rFonts w:ascii="Arial" w:hAnsi="Arial" w:cs="Arial"/>
        </w:rPr>
        <w:t xml:space="preserve">, il est précisé que le Maître d’œuvre ou le Maître d’Ouvrage sont seuls susceptibles de déterminer les réunions de chantier au cours desquelles sont menées ces constatations. En aucun cas, ils ne peuvent y être tenus par le Titulaire. Ces constations ne peuvent avoir lieu en l’absence du représentant de la maîtrise d’œuvre. </w:t>
      </w:r>
    </w:p>
    <w:p w14:paraId="30E09564" w14:textId="77777777" w:rsidR="008B3392" w:rsidRPr="00FA7A61" w:rsidRDefault="008B3392" w:rsidP="008B3392">
      <w:pPr>
        <w:spacing w:after="120"/>
        <w:rPr>
          <w:rFonts w:ascii="Arial" w:hAnsi="Arial" w:cs="Arial"/>
        </w:rPr>
      </w:pPr>
      <w:r w:rsidRPr="00FA7A61">
        <w:rPr>
          <w:rFonts w:ascii="Arial" w:hAnsi="Arial" w:cs="Arial"/>
        </w:rPr>
        <w:t>Les constatations donnent lieu à un état d’avancement du chantier, dressé sur-le-champ, par le représentant de la maîtrise d’œuvre – représentant de la maîtrise d’œuvre, contradictoirement avec le Titulaire. L’état d’avancement du chantier est réalisé sur la base de la décomposition du prix global et forfaitaire du marché, dûment renseignée des montants retenus lors de la notification du marché, éventuellement modifiés par avenant. Pour chaque poste ou groupe de postes sont indiqués le pourcentage d’avancement ou les quantités exécutées, avec indication de la valorisation de l’avancement, en valeur M0 HT.</w:t>
      </w:r>
    </w:p>
    <w:p w14:paraId="32CFF778" w14:textId="77777777" w:rsidR="008B3392" w:rsidRPr="00FA7A61" w:rsidRDefault="008B3392" w:rsidP="008B3392">
      <w:pPr>
        <w:spacing w:after="120"/>
        <w:rPr>
          <w:rFonts w:ascii="Arial" w:hAnsi="Arial" w:cs="Arial"/>
        </w:rPr>
      </w:pPr>
      <w:r w:rsidRPr="00FA7A61">
        <w:rPr>
          <w:rFonts w:ascii="Arial" w:hAnsi="Arial" w:cs="Arial"/>
        </w:rPr>
        <w:t xml:space="preserve">À l'issue de la réunion, le constat doit être signé par le Titulaire et le représentant de la maîtrise d’œuvre-Université Paris Nanterre-. </w:t>
      </w:r>
    </w:p>
    <w:p w14:paraId="6F557DC6" w14:textId="77777777" w:rsidR="008B3392" w:rsidRPr="00FA7A61" w:rsidRDefault="008B3392" w:rsidP="008B3392">
      <w:pPr>
        <w:spacing w:after="120"/>
        <w:rPr>
          <w:rFonts w:ascii="Arial" w:hAnsi="Arial" w:cs="Arial"/>
        </w:rPr>
      </w:pPr>
      <w:r w:rsidRPr="00FA7A61">
        <w:rPr>
          <w:rFonts w:ascii="Arial" w:hAnsi="Arial" w:cs="Arial"/>
        </w:rPr>
        <w:lastRenderedPageBreak/>
        <w:t xml:space="preserve">Si le Titulaire, dûment convoqué en temps utile, n’est pas présent ou représenté aux constatations, il est réputé accepter sans réserve le constat qui en résulte. </w:t>
      </w:r>
    </w:p>
    <w:p w14:paraId="3DC70433" w14:textId="77777777" w:rsidR="008B3392" w:rsidRPr="00FA7A61" w:rsidRDefault="008B3392" w:rsidP="008B3392">
      <w:pPr>
        <w:spacing w:after="120"/>
        <w:rPr>
          <w:rFonts w:ascii="Arial" w:hAnsi="Arial" w:cs="Arial"/>
        </w:rPr>
      </w:pPr>
      <w:r w:rsidRPr="00FA7A61">
        <w:rPr>
          <w:rFonts w:ascii="Arial" w:hAnsi="Arial" w:cs="Arial"/>
        </w:rPr>
        <w:t xml:space="preserve">Par dérogation à </w:t>
      </w:r>
      <w:r w:rsidRPr="00FA7A61">
        <w:rPr>
          <w:rFonts w:ascii="Arial" w:hAnsi="Arial" w:cs="Arial"/>
          <w:b/>
          <w:color w:val="FF0000"/>
        </w:rPr>
        <w:t>l’article 11.4, alinéa 2, du CCAG-Travaux</w:t>
      </w:r>
      <w:r w:rsidRPr="00FA7A61">
        <w:rPr>
          <w:rFonts w:ascii="Arial" w:hAnsi="Arial" w:cs="Arial"/>
        </w:rPr>
        <w:t xml:space="preserve">, si le Titulaire refuse de signer le constat sur-le-champ ou ne le signe qu’avec réserve, il dispose d’un délai de trois jours ouvrés pour préciser ses réserves, par écrit, à l’attention du Maître d’Ouvrage et du représentant de la maîtrise d’œuvre -Université de Paris Nanterre-. </w:t>
      </w:r>
    </w:p>
    <w:p w14:paraId="16F8E854" w14:textId="77777777" w:rsidR="008B3392" w:rsidRPr="00FA7A61" w:rsidRDefault="008B3392" w:rsidP="008B3392">
      <w:pPr>
        <w:spacing w:after="120"/>
        <w:rPr>
          <w:rFonts w:ascii="Arial" w:hAnsi="Arial" w:cs="Arial"/>
        </w:rPr>
      </w:pPr>
      <w:r w:rsidRPr="00FA7A61">
        <w:rPr>
          <w:rFonts w:ascii="Arial" w:hAnsi="Arial" w:cs="Arial"/>
        </w:rPr>
        <w:t xml:space="preserve">À réception de cet écrit, le représentant de la maîtrise d’œuvre - université de Paris Nanterre - dispose de cinq jours ouvrés pour procéder aux vérifications qui lui incombent et juger la recevabilité des réserves formulées par le Titulaire. Le représentant de la maîtrise d’œuvre -université de Paris Nanterre - valide alors l’état d’avancement du chantier, éventuellement amendé par ses soins, qu’il transmet au Titulaire du marché. Ce constat est considéré comme opposable au Titulaire et l’avancement des travaux, valorisé sur cette base. </w:t>
      </w:r>
    </w:p>
    <w:p w14:paraId="65F5A326" w14:textId="77777777" w:rsidR="008B3392" w:rsidRPr="00FA7A61" w:rsidRDefault="008B3392" w:rsidP="008B3392">
      <w:pPr>
        <w:spacing w:after="120"/>
        <w:rPr>
          <w:rFonts w:ascii="Arial" w:hAnsi="Arial" w:cs="Arial"/>
          <w:b/>
        </w:rPr>
      </w:pPr>
      <w:r w:rsidRPr="00FA7A61">
        <w:rPr>
          <w:rFonts w:ascii="Arial" w:hAnsi="Arial" w:cs="Arial"/>
          <w:b/>
        </w:rPr>
        <w:t>À défaut de présenter ses réserves dans les deux jours ouvrés, le constat contradictoire est considéré comme opposable au Titulaire et l’avancement des travaux, valorisé sur cette base.</w:t>
      </w:r>
    </w:p>
    <w:p w14:paraId="312A2A49" w14:textId="77777777" w:rsidR="008B3392" w:rsidRPr="00FA7A61" w:rsidRDefault="008B3392" w:rsidP="00D62FE0">
      <w:pPr>
        <w:spacing w:after="120"/>
        <w:rPr>
          <w:rFonts w:ascii="Arial" w:hAnsi="Arial" w:cs="Arial"/>
        </w:rPr>
      </w:pPr>
    </w:p>
    <w:p w14:paraId="11556ED1" w14:textId="33ADC677" w:rsidR="00B274C8" w:rsidRPr="00FA7A61" w:rsidRDefault="001612FF" w:rsidP="00C50CD4">
      <w:pPr>
        <w:pStyle w:val="Titre3"/>
        <w:numPr>
          <w:ilvl w:val="0"/>
          <w:numId w:val="8"/>
        </w:numPr>
        <w:tabs>
          <w:tab w:val="clear" w:pos="9072"/>
        </w:tabs>
        <w:spacing w:before="0" w:after="120" w:line="240" w:lineRule="auto"/>
        <w:rPr>
          <w:rFonts w:cs="Arial"/>
          <w:sz w:val="22"/>
          <w:szCs w:val="22"/>
        </w:rPr>
      </w:pPr>
      <w:r>
        <w:rPr>
          <w:rFonts w:cs="Arial"/>
          <w:sz w:val="22"/>
          <w:szCs w:val="22"/>
        </w:rPr>
        <w:t xml:space="preserve">Article </w:t>
      </w:r>
      <w:r w:rsidR="00AA5F0E">
        <w:rPr>
          <w:rFonts w:cs="Arial"/>
          <w:sz w:val="22"/>
          <w:szCs w:val="22"/>
        </w:rPr>
        <w:t>10.9.2</w:t>
      </w:r>
      <w:r>
        <w:rPr>
          <w:rFonts w:cs="Arial"/>
          <w:sz w:val="22"/>
          <w:szCs w:val="22"/>
        </w:rPr>
        <w:t xml:space="preserve"> CCAP</w:t>
      </w:r>
    </w:p>
    <w:p w14:paraId="2524B915" w14:textId="1A33E404" w:rsidR="001612FF" w:rsidRDefault="00AA5F0E" w:rsidP="00C50CD4">
      <w:pPr>
        <w:spacing w:after="120"/>
        <w:rPr>
          <w:rFonts w:ascii="Arial" w:hAnsi="Arial" w:cs="Arial"/>
        </w:rPr>
      </w:pPr>
      <w:r w:rsidRPr="00AA5F0E">
        <w:rPr>
          <w:rFonts w:ascii="Arial" w:hAnsi="Arial" w:cs="Arial"/>
          <w:b/>
        </w:rPr>
        <w:t>Par dérogation à l’article 41.3 du CCAG-Travaux</w:t>
      </w:r>
      <w:r w:rsidRPr="00AA5F0E">
        <w:rPr>
          <w:rFonts w:ascii="Arial" w:hAnsi="Arial" w:cs="Arial"/>
        </w:rPr>
        <w:t>, le délai accordé au Maître d’Ouvrage est de 45 jours.</w:t>
      </w:r>
    </w:p>
    <w:p w14:paraId="53BF3EE7" w14:textId="6ADCFF67" w:rsidR="00AA5F0E" w:rsidRDefault="00AA5F0E" w:rsidP="00C50CD4">
      <w:pPr>
        <w:spacing w:after="120"/>
        <w:rPr>
          <w:rFonts w:ascii="Arial" w:hAnsi="Arial" w:cs="Arial"/>
        </w:rPr>
      </w:pPr>
    </w:p>
    <w:p w14:paraId="3B3F0A4E" w14:textId="742CD744" w:rsidR="00AA5F0E" w:rsidRDefault="00AA5F0E" w:rsidP="00C50CD4">
      <w:pPr>
        <w:spacing w:after="120"/>
        <w:rPr>
          <w:rFonts w:ascii="Arial" w:hAnsi="Arial" w:cs="Arial"/>
        </w:rPr>
      </w:pPr>
      <w:r w:rsidRPr="00AA5F0E">
        <w:rPr>
          <w:rFonts w:ascii="Arial" w:hAnsi="Arial" w:cs="Arial"/>
          <w:b/>
        </w:rPr>
        <w:t>Par dérogation aux articles 41.1.2 et 41.1.3 du CCAG-Travaux</w:t>
      </w:r>
      <w:r w:rsidRPr="00AA5F0E">
        <w:rPr>
          <w:rFonts w:ascii="Arial" w:hAnsi="Arial" w:cs="Arial"/>
        </w:rPr>
        <w:t>, la réception des travaux est réputée acquise à l'expiration d'un délai de 70 jours à compter de la réception de la lettre par laquelle le Titulaire informe le Maître d’Ouvrage du fait que le Maître d’œuvre n'a pas arrêté la date des opérations de réception dans le délai de 20 jours prévu à l'article 41.1 du CCAG-Travaux Réception ; peut être prononcée sans réserve, avec réserve ou sous réserve.</w:t>
      </w:r>
    </w:p>
    <w:p w14:paraId="7123E3F3" w14:textId="77777777" w:rsidR="00AA5F0E" w:rsidRPr="00AA5F0E" w:rsidRDefault="00AA5F0E" w:rsidP="00AA5F0E">
      <w:pPr>
        <w:spacing w:after="120"/>
        <w:rPr>
          <w:rFonts w:ascii="Arial" w:hAnsi="Arial" w:cs="Arial"/>
        </w:rPr>
      </w:pPr>
      <w:r w:rsidRPr="00AA5F0E">
        <w:rPr>
          <w:rFonts w:ascii="Arial" w:hAnsi="Arial" w:cs="Arial"/>
        </w:rPr>
        <w:t xml:space="preserve">En complément de l’article 41.5 et </w:t>
      </w:r>
      <w:r w:rsidRPr="00AA5F0E">
        <w:rPr>
          <w:rFonts w:ascii="Arial" w:hAnsi="Arial" w:cs="Arial"/>
          <w:b/>
        </w:rPr>
        <w:t>par dérogation à l’article 41.6 du CCAG-Travaux</w:t>
      </w:r>
      <w:r w:rsidRPr="00AA5F0E">
        <w:rPr>
          <w:rFonts w:ascii="Arial" w:hAnsi="Arial" w:cs="Arial"/>
        </w:rPr>
        <w:t xml:space="preserve">, lorsque la réception est assortie de réserves portant sur des imperfections, malfaçons ou non-façons, le Titulaire doit y remédier dans le délai fixé par le Maître d’Ouvrage ou, en l’absence d’un tel délai, un mois après la notification de la décision de réception ou son prononcé tacite en application de l’article 41.3 du CCAG-Travaux. </w:t>
      </w:r>
    </w:p>
    <w:p w14:paraId="08ECC8FB" w14:textId="77777777" w:rsidR="00AA5F0E" w:rsidRPr="00AA5F0E" w:rsidRDefault="00AA5F0E" w:rsidP="00AA5F0E">
      <w:pPr>
        <w:spacing w:after="120"/>
        <w:rPr>
          <w:rFonts w:ascii="Arial" w:hAnsi="Arial" w:cs="Arial"/>
        </w:rPr>
      </w:pPr>
      <w:r w:rsidRPr="00AA5F0E">
        <w:rPr>
          <w:rFonts w:ascii="Arial" w:hAnsi="Arial" w:cs="Arial"/>
        </w:rPr>
        <w:t xml:space="preserve">Dans le cas où ces travaux ne sont pas exécutés dans le délai prescrit, et </w:t>
      </w:r>
      <w:r w:rsidRPr="00AA5F0E">
        <w:rPr>
          <w:rFonts w:ascii="Arial" w:hAnsi="Arial" w:cs="Arial"/>
          <w:b/>
        </w:rPr>
        <w:t>par dérogation à l’article 41.6 alinéa 2 du CCAG-Travaux</w:t>
      </w:r>
      <w:r w:rsidRPr="00AA5F0E">
        <w:rPr>
          <w:rFonts w:ascii="Arial" w:hAnsi="Arial" w:cs="Arial"/>
        </w:rPr>
        <w:t xml:space="preserve">, l’Université Paris Nanterre peut faire réaliser aux frais et risques du Titulaire, sans mise en demeure préalable et sans préjudice de l’application des pénalités de retard prévus à l’article 3.3.2.4 supra tant que les travaux nécessaires n’ont pas été exécutés. </w:t>
      </w:r>
    </w:p>
    <w:p w14:paraId="7EE707A4" w14:textId="1EAAB0C4" w:rsidR="00AA5F0E" w:rsidRDefault="00AA5F0E" w:rsidP="00AA5F0E">
      <w:pPr>
        <w:spacing w:after="120"/>
        <w:rPr>
          <w:rFonts w:ascii="Arial" w:hAnsi="Arial" w:cs="Arial"/>
        </w:rPr>
      </w:pPr>
      <w:r w:rsidRPr="00AA5F0E">
        <w:rPr>
          <w:rFonts w:ascii="Arial" w:hAnsi="Arial" w:cs="Arial"/>
        </w:rPr>
        <w:t xml:space="preserve">La constatation de l’exécution des prestations ayant donné lieu à réserve doit faire l’objet d’un procès-verbal dressé dans les mêmes conditions que le procès-verbal des opérations préalables à la réception. </w:t>
      </w:r>
    </w:p>
    <w:p w14:paraId="154C20F4" w14:textId="2498EAA3" w:rsidR="0098762D" w:rsidRDefault="0098762D" w:rsidP="00AA5F0E">
      <w:pPr>
        <w:spacing w:after="120"/>
        <w:rPr>
          <w:rFonts w:ascii="Arial" w:hAnsi="Arial" w:cs="Arial"/>
        </w:rPr>
      </w:pPr>
    </w:p>
    <w:p w14:paraId="196E3952" w14:textId="0598FD67" w:rsidR="0098762D" w:rsidRDefault="0098762D" w:rsidP="00AA5F0E">
      <w:pPr>
        <w:spacing w:after="120"/>
        <w:rPr>
          <w:rFonts w:ascii="Arial" w:hAnsi="Arial" w:cs="Arial"/>
        </w:rPr>
      </w:pPr>
      <w:r w:rsidRPr="0098762D">
        <w:rPr>
          <w:rFonts w:ascii="Arial" w:hAnsi="Arial" w:cs="Arial"/>
          <w:b/>
        </w:rPr>
        <w:t>Par dérogation à l’article 42.1 du CCAG-Travaux</w:t>
      </w:r>
      <w:r w:rsidRPr="0098762D">
        <w:rPr>
          <w:rFonts w:ascii="Arial" w:hAnsi="Arial" w:cs="Arial"/>
        </w:rPr>
        <w:t>, la fixation par le marché, pour un ouvrage ou une partie d'ouvrage d'un délai d'exécution distinct du délai global d'exécution de l'ensemble des travaux (ou, le cas échéant, de la tranche de travaux) n'emporte pas réception partielle de cet ouvrage ou de cette partie d'ouvrage.</w:t>
      </w:r>
    </w:p>
    <w:p w14:paraId="2244829B" w14:textId="395340A9" w:rsidR="00AA5F0E" w:rsidRDefault="00AA5F0E" w:rsidP="00AA5F0E">
      <w:pPr>
        <w:spacing w:after="120"/>
        <w:rPr>
          <w:rFonts w:ascii="Arial" w:hAnsi="Arial" w:cs="Arial"/>
        </w:rPr>
      </w:pPr>
    </w:p>
    <w:p w14:paraId="49E470C1" w14:textId="622772D2" w:rsidR="00AA5F0E" w:rsidRDefault="00AA5F0E" w:rsidP="00AA5F0E">
      <w:pPr>
        <w:pStyle w:val="Paragraphedeliste"/>
        <w:numPr>
          <w:ilvl w:val="0"/>
          <w:numId w:val="8"/>
        </w:numPr>
        <w:spacing w:after="120"/>
        <w:rPr>
          <w:rFonts w:ascii="Arial" w:hAnsi="Arial" w:cs="Arial"/>
        </w:rPr>
      </w:pPr>
      <w:r>
        <w:rPr>
          <w:rFonts w:ascii="Arial" w:hAnsi="Arial" w:cs="Arial"/>
        </w:rPr>
        <w:t xml:space="preserve">Article 10.9.3 </w:t>
      </w:r>
      <w:r w:rsidR="00900BFC">
        <w:rPr>
          <w:rFonts w:ascii="Arial" w:hAnsi="Arial" w:cs="Arial"/>
        </w:rPr>
        <w:t>du CCAP</w:t>
      </w:r>
    </w:p>
    <w:p w14:paraId="3F0C48E1" w14:textId="5F9AA0DB" w:rsidR="00AA5F0E" w:rsidRDefault="00AA5F0E" w:rsidP="00AA5F0E">
      <w:pPr>
        <w:spacing w:after="120"/>
        <w:rPr>
          <w:rFonts w:ascii="Arial" w:hAnsi="Arial" w:cs="Arial"/>
        </w:rPr>
      </w:pPr>
    </w:p>
    <w:p w14:paraId="4A19D5BD" w14:textId="66A35FB8" w:rsidR="00AA5F0E" w:rsidRDefault="00AA5F0E" w:rsidP="00AA5F0E">
      <w:pPr>
        <w:spacing w:after="120"/>
        <w:rPr>
          <w:rFonts w:ascii="Arial" w:hAnsi="Arial" w:cs="Arial"/>
        </w:rPr>
      </w:pPr>
      <w:r w:rsidRPr="00AA5F0E">
        <w:rPr>
          <w:rFonts w:ascii="Arial" w:hAnsi="Arial" w:cs="Arial"/>
          <w:b/>
        </w:rPr>
        <w:lastRenderedPageBreak/>
        <w:t>Par dérogation à l’article 40.1 du CCAG-Travaux</w:t>
      </w:r>
      <w:r w:rsidRPr="00AA5F0E">
        <w:rPr>
          <w:rFonts w:ascii="Arial" w:hAnsi="Arial" w:cs="Arial"/>
        </w:rPr>
        <w:t>, le Titulaire est tenu de remettre au Maître d’œuvre dans les quinze jours suivant la date de notification de la décision de réception prise par le Maître d'Ouvrage la totalité des documents constitutifs du DOE. Le défaut de remise dans ce délai des documents mentionnés entraîne l'application des pénalités prévues ci-avant.</w:t>
      </w:r>
    </w:p>
    <w:p w14:paraId="404EA2DF" w14:textId="77777777" w:rsidR="00AA5F0E" w:rsidRPr="00AA5F0E" w:rsidRDefault="00AA5F0E" w:rsidP="00AA5F0E">
      <w:pPr>
        <w:spacing w:after="120"/>
        <w:rPr>
          <w:rFonts w:ascii="Arial" w:hAnsi="Arial" w:cs="Arial"/>
        </w:rPr>
      </w:pPr>
    </w:p>
    <w:p w14:paraId="6E2A2BBF" w14:textId="22A27CF6" w:rsidR="00AA5F0E" w:rsidRDefault="00AA5F0E" w:rsidP="00C50CD4">
      <w:pPr>
        <w:spacing w:after="120"/>
        <w:rPr>
          <w:rFonts w:ascii="Arial" w:hAnsi="Arial" w:cs="Arial"/>
        </w:rPr>
      </w:pPr>
    </w:p>
    <w:p w14:paraId="7090BE3C" w14:textId="77777777" w:rsidR="00AA5F0E" w:rsidRDefault="00AA5F0E" w:rsidP="00C50CD4">
      <w:pPr>
        <w:spacing w:after="120"/>
        <w:rPr>
          <w:rFonts w:ascii="Arial" w:hAnsi="Arial" w:cs="Arial"/>
        </w:rPr>
      </w:pPr>
    </w:p>
    <w:p w14:paraId="7FFE91F7" w14:textId="77777777" w:rsidR="002F19A5" w:rsidRPr="00FA7A61" w:rsidRDefault="002F19A5" w:rsidP="00C50CD4">
      <w:pPr>
        <w:spacing w:after="120"/>
        <w:rPr>
          <w:rFonts w:ascii="Arial" w:hAnsi="Arial" w:cs="Arial"/>
        </w:rPr>
      </w:pPr>
    </w:p>
    <w:p w14:paraId="33708769" w14:textId="6C592332" w:rsidR="00B274C8" w:rsidRPr="00FA7A61" w:rsidRDefault="00B274C8" w:rsidP="00C50CD4">
      <w:pPr>
        <w:pStyle w:val="Titre3"/>
        <w:numPr>
          <w:ilvl w:val="0"/>
          <w:numId w:val="8"/>
        </w:numPr>
        <w:tabs>
          <w:tab w:val="clear" w:pos="9072"/>
        </w:tabs>
        <w:spacing w:before="0" w:after="120" w:line="240" w:lineRule="auto"/>
        <w:rPr>
          <w:rFonts w:cs="Arial"/>
          <w:sz w:val="22"/>
          <w:szCs w:val="22"/>
        </w:rPr>
      </w:pPr>
      <w:r w:rsidRPr="00FA7A61">
        <w:rPr>
          <w:rFonts w:cs="Arial"/>
          <w:sz w:val="22"/>
          <w:szCs w:val="22"/>
        </w:rPr>
        <w:t>Dérogation article 12.1.1 12.1.9 12.3.3</w:t>
      </w:r>
    </w:p>
    <w:p w14:paraId="07EB704D" w14:textId="77777777" w:rsidR="00A67EB2" w:rsidRPr="00FA7A61" w:rsidRDefault="001C57D5" w:rsidP="00C50CD4">
      <w:pPr>
        <w:spacing w:after="120"/>
        <w:rPr>
          <w:rFonts w:ascii="Arial" w:hAnsi="Arial" w:cs="Arial"/>
        </w:rPr>
      </w:pPr>
      <w:r w:rsidRPr="00FA7A61">
        <w:rPr>
          <w:rFonts w:ascii="Arial" w:hAnsi="Arial" w:cs="Arial"/>
        </w:rPr>
        <w:t xml:space="preserve">Par dérogation à </w:t>
      </w:r>
      <w:r w:rsidRPr="00FA7A61">
        <w:rPr>
          <w:rFonts w:ascii="Arial" w:hAnsi="Arial" w:cs="Arial"/>
          <w:b/>
          <w:color w:val="FF0000"/>
        </w:rPr>
        <w:t>l’article 12.1.1</w:t>
      </w:r>
      <w:r w:rsidRPr="00FA7A61">
        <w:rPr>
          <w:rFonts w:ascii="Arial" w:hAnsi="Arial" w:cs="Arial"/>
        </w:rPr>
        <w:t>, seuls les marchés subséquents issus d’une mise en concurrence permettent aux titulaires une demande de paiement mensuelle. Pour les marchés établis sur les BPU, la demande de paiement est effectuée uniquement en fin de prestation, après réception.</w:t>
      </w:r>
    </w:p>
    <w:p w14:paraId="6E3FF3AA" w14:textId="77777777" w:rsidR="00A67EB2" w:rsidRPr="00FA7A61" w:rsidRDefault="00A67EB2" w:rsidP="00C50CD4">
      <w:pPr>
        <w:spacing w:after="120"/>
        <w:rPr>
          <w:rFonts w:ascii="Arial" w:hAnsi="Arial" w:cs="Arial"/>
        </w:rPr>
      </w:pPr>
    </w:p>
    <w:p w14:paraId="2673BBB8" w14:textId="77777777" w:rsidR="001C57D5" w:rsidRPr="00FA7A61" w:rsidRDefault="001C57D5" w:rsidP="00C50CD4">
      <w:pPr>
        <w:spacing w:after="120"/>
        <w:rPr>
          <w:rFonts w:ascii="Arial" w:hAnsi="Arial" w:cs="Arial"/>
        </w:rPr>
      </w:pPr>
      <w:r w:rsidRPr="00FA7A61">
        <w:rPr>
          <w:rFonts w:ascii="Arial" w:hAnsi="Arial" w:cs="Arial"/>
        </w:rPr>
        <w:t xml:space="preserve">Par dérogation aux </w:t>
      </w:r>
      <w:r w:rsidRPr="00FA7A61">
        <w:rPr>
          <w:rFonts w:ascii="Arial" w:hAnsi="Arial" w:cs="Arial"/>
          <w:b/>
          <w:color w:val="FF0000"/>
        </w:rPr>
        <w:t>articles 12.1.9 et 12.3.3,</w:t>
      </w:r>
      <w:r w:rsidRPr="00FA7A61">
        <w:rPr>
          <w:rFonts w:ascii="Arial" w:hAnsi="Arial" w:cs="Arial"/>
        </w:rPr>
        <w:t xml:space="preserve"> le MOA peut accepter ou rectifier les décomptes mensuels et les décomptes finaux, après cette même étape effectuée par le MOE.</w:t>
      </w:r>
    </w:p>
    <w:p w14:paraId="1A78978D" w14:textId="77777777" w:rsidR="00EC3AF2" w:rsidRPr="00FA7A61" w:rsidRDefault="00EC3AF2" w:rsidP="00C50CD4">
      <w:pPr>
        <w:spacing w:after="120"/>
        <w:rPr>
          <w:rFonts w:ascii="Arial" w:hAnsi="Arial" w:cs="Arial"/>
        </w:rPr>
      </w:pPr>
    </w:p>
    <w:p w14:paraId="32A8282E" w14:textId="4B70FCCA" w:rsidR="00B274C8" w:rsidRPr="00FA7A61" w:rsidRDefault="00B274C8" w:rsidP="00C50CD4">
      <w:pPr>
        <w:pStyle w:val="Titre3"/>
        <w:numPr>
          <w:ilvl w:val="0"/>
          <w:numId w:val="8"/>
        </w:numPr>
        <w:tabs>
          <w:tab w:val="clear" w:pos="9072"/>
        </w:tabs>
        <w:spacing w:before="0" w:after="120" w:line="240" w:lineRule="auto"/>
        <w:rPr>
          <w:rFonts w:cs="Arial"/>
          <w:sz w:val="22"/>
          <w:szCs w:val="22"/>
        </w:rPr>
      </w:pPr>
      <w:r w:rsidRPr="00FA7A61">
        <w:rPr>
          <w:rFonts w:cs="Arial"/>
          <w:sz w:val="22"/>
          <w:szCs w:val="22"/>
        </w:rPr>
        <w:t>Dérogation article 14</w:t>
      </w:r>
    </w:p>
    <w:p w14:paraId="5018CCAA" w14:textId="77777777" w:rsidR="00EC3AF2" w:rsidRPr="00FA7A61" w:rsidRDefault="00EC3AF2" w:rsidP="00C50CD4">
      <w:pPr>
        <w:spacing w:after="120"/>
        <w:rPr>
          <w:rFonts w:ascii="Arial" w:hAnsi="Arial" w:cs="Arial"/>
        </w:rPr>
      </w:pPr>
      <w:r w:rsidRPr="00FA7A61">
        <w:rPr>
          <w:rFonts w:ascii="Arial" w:hAnsi="Arial" w:cs="Arial"/>
        </w:rPr>
        <w:t xml:space="preserve">Par dérogation à </w:t>
      </w:r>
      <w:r w:rsidRPr="00FA7A61">
        <w:rPr>
          <w:rFonts w:ascii="Arial" w:hAnsi="Arial" w:cs="Arial"/>
          <w:b/>
          <w:color w:val="FF0000"/>
        </w:rPr>
        <w:t>l’article 14</w:t>
      </w:r>
      <w:r w:rsidRPr="00FA7A61">
        <w:rPr>
          <w:rFonts w:ascii="Arial" w:hAnsi="Arial" w:cs="Arial"/>
        </w:rPr>
        <w:t xml:space="preserve"> du CCAG Travaux, les travaux en supplément au forfait qui seraient la conséquence de modifications que le Pouvoir Adjudicateur se réserve le droit d’apporter en cours d’exécution des travaux, ne pourront être réglés qu’à compter de la notification de l’avenant ou de la décision de poursuivre qui sera notifiée par ordre de service.</w:t>
      </w:r>
    </w:p>
    <w:p w14:paraId="0FC942FF" w14:textId="77777777" w:rsidR="00F76542" w:rsidRPr="00FA7A61" w:rsidRDefault="00F76542" w:rsidP="00C50CD4">
      <w:pPr>
        <w:spacing w:after="120"/>
        <w:rPr>
          <w:rFonts w:ascii="Arial" w:hAnsi="Arial" w:cs="Arial"/>
        </w:rPr>
      </w:pPr>
    </w:p>
    <w:p w14:paraId="489EB171" w14:textId="595FE0B3" w:rsidR="00B274C8" w:rsidRPr="00FA7A61" w:rsidRDefault="00B274C8" w:rsidP="00C50CD4">
      <w:pPr>
        <w:pStyle w:val="Titre3"/>
        <w:numPr>
          <w:ilvl w:val="0"/>
          <w:numId w:val="8"/>
        </w:numPr>
        <w:tabs>
          <w:tab w:val="clear" w:pos="9072"/>
        </w:tabs>
        <w:spacing w:before="0" w:after="120" w:line="240" w:lineRule="auto"/>
        <w:rPr>
          <w:rFonts w:cs="Arial"/>
          <w:sz w:val="22"/>
          <w:szCs w:val="22"/>
        </w:rPr>
      </w:pPr>
      <w:r w:rsidRPr="00FA7A61">
        <w:rPr>
          <w:rFonts w:cs="Arial"/>
          <w:sz w:val="22"/>
          <w:szCs w:val="22"/>
        </w:rPr>
        <w:t>Dérogation article 18.2.3</w:t>
      </w:r>
    </w:p>
    <w:p w14:paraId="45D6E984" w14:textId="77777777" w:rsidR="00F76542" w:rsidRPr="00FA7A61" w:rsidRDefault="00F76542" w:rsidP="00C50CD4">
      <w:pPr>
        <w:spacing w:after="120"/>
        <w:rPr>
          <w:rFonts w:ascii="Arial" w:hAnsi="Arial" w:cs="Arial"/>
        </w:rPr>
      </w:pPr>
      <w:r w:rsidRPr="00FA7A61">
        <w:rPr>
          <w:rFonts w:ascii="Arial" w:hAnsi="Arial" w:cs="Arial"/>
        </w:rPr>
        <w:t xml:space="preserve">Par dérogation à </w:t>
      </w:r>
      <w:r w:rsidRPr="00FA7A61">
        <w:rPr>
          <w:rFonts w:ascii="Arial" w:hAnsi="Arial" w:cs="Arial"/>
          <w:b/>
          <w:color w:val="FF0000"/>
        </w:rPr>
        <w:t>l’article 18.2.3</w:t>
      </w:r>
      <w:r w:rsidRPr="00FA7A61">
        <w:rPr>
          <w:rFonts w:ascii="Arial" w:hAnsi="Arial" w:cs="Arial"/>
        </w:rPr>
        <w:t xml:space="preserve"> du C.C.A.G travaux, l’ensemble des prestations se réalisent en intérieure et ne peuvent ouvrir droit à prolongation du délai pour intempéries gel/pluie/vent/neige.</w:t>
      </w:r>
    </w:p>
    <w:p w14:paraId="2388789C" w14:textId="77777777" w:rsidR="000015F3" w:rsidRPr="00FA7A61" w:rsidRDefault="000015F3" w:rsidP="00C50CD4">
      <w:pPr>
        <w:spacing w:after="120"/>
        <w:rPr>
          <w:rFonts w:ascii="Arial" w:hAnsi="Arial" w:cs="Arial"/>
        </w:rPr>
      </w:pPr>
    </w:p>
    <w:p w14:paraId="4E3C0C91" w14:textId="3D9D51B7" w:rsidR="00B274C8" w:rsidRPr="00FA7A61" w:rsidRDefault="00B274C8" w:rsidP="00C50CD4">
      <w:pPr>
        <w:pStyle w:val="Titre3"/>
        <w:numPr>
          <w:ilvl w:val="0"/>
          <w:numId w:val="8"/>
        </w:numPr>
        <w:tabs>
          <w:tab w:val="clear" w:pos="9072"/>
        </w:tabs>
        <w:spacing w:before="0" w:after="120" w:line="240" w:lineRule="auto"/>
        <w:rPr>
          <w:rFonts w:cs="Arial"/>
          <w:sz w:val="22"/>
          <w:szCs w:val="22"/>
        </w:rPr>
      </w:pPr>
      <w:r w:rsidRPr="00FA7A61">
        <w:rPr>
          <w:rFonts w:cs="Arial"/>
          <w:sz w:val="22"/>
          <w:szCs w:val="22"/>
        </w:rPr>
        <w:t>Dérogations article 19.2.1 19.2.3 19.2.4 19.2.5</w:t>
      </w:r>
    </w:p>
    <w:p w14:paraId="065340E3" w14:textId="77777777" w:rsidR="000015F3" w:rsidRPr="00FA7A61" w:rsidRDefault="000015F3" w:rsidP="00C50CD4">
      <w:pPr>
        <w:pStyle w:val="Paragraphedeliste"/>
        <w:spacing w:after="120"/>
        <w:ind w:left="0"/>
        <w:rPr>
          <w:rFonts w:ascii="Arial" w:hAnsi="Arial" w:cs="Arial"/>
        </w:rPr>
      </w:pPr>
      <w:r w:rsidRPr="00FA7A61">
        <w:rPr>
          <w:rFonts w:ascii="Arial" w:hAnsi="Arial" w:cs="Arial"/>
        </w:rPr>
        <w:t xml:space="preserve">S’appliquent dès le premier euro, par dérogation à </w:t>
      </w:r>
      <w:r w:rsidRPr="00FA7A61">
        <w:rPr>
          <w:rFonts w:ascii="Arial" w:hAnsi="Arial" w:cs="Arial"/>
          <w:b/>
          <w:color w:val="FF0000"/>
        </w:rPr>
        <w:t>l’article 19.2.1</w:t>
      </w:r>
      <w:r w:rsidRPr="00FA7A61">
        <w:rPr>
          <w:rFonts w:ascii="Arial" w:hAnsi="Arial" w:cs="Arial"/>
        </w:rPr>
        <w:t xml:space="preserve"> du CCAG-Travaux. Par dérogation à l’article 19.2.1, le Titulaire n’est pas exonéré des pénalités inférieures à 1 000,00€ HT.</w:t>
      </w:r>
    </w:p>
    <w:p w14:paraId="42ECF7CA" w14:textId="77777777" w:rsidR="000015F3" w:rsidRPr="00FA7A61" w:rsidRDefault="000015F3" w:rsidP="00C50CD4">
      <w:pPr>
        <w:spacing w:after="120"/>
        <w:rPr>
          <w:rFonts w:ascii="Arial" w:hAnsi="Arial" w:cs="Arial"/>
        </w:rPr>
      </w:pPr>
    </w:p>
    <w:p w14:paraId="17EAEA7C" w14:textId="77777777" w:rsidR="000015F3" w:rsidRPr="00FA7A61" w:rsidRDefault="000015F3" w:rsidP="00C50CD4">
      <w:pPr>
        <w:spacing w:after="120"/>
        <w:rPr>
          <w:rFonts w:ascii="Arial" w:hAnsi="Arial" w:cs="Arial"/>
        </w:rPr>
      </w:pPr>
      <w:r w:rsidRPr="00FA7A61">
        <w:rPr>
          <w:rFonts w:ascii="Arial" w:hAnsi="Arial" w:cs="Arial"/>
        </w:rPr>
        <w:t xml:space="preserve">Par dérogation à </w:t>
      </w:r>
      <w:r w:rsidRPr="00FA7A61">
        <w:rPr>
          <w:rFonts w:ascii="Arial" w:hAnsi="Arial" w:cs="Arial"/>
          <w:b/>
          <w:color w:val="FF0000"/>
        </w:rPr>
        <w:t>l’article 19.2.5</w:t>
      </w:r>
      <w:r w:rsidRPr="00FA7A61">
        <w:rPr>
          <w:rFonts w:ascii="Arial" w:hAnsi="Arial" w:cs="Arial"/>
        </w:rPr>
        <w:t xml:space="preserve"> du CCAG-Travaux, le Maître d’Ouvrage reste en droit de sanctionner par des pénalités tout retard constaté par rapport à un délai partiel, indépendamment d’une absence de retard au regard du délai global.</w:t>
      </w:r>
    </w:p>
    <w:p w14:paraId="2A325251" w14:textId="77777777" w:rsidR="000015F3" w:rsidRPr="00FA7A61" w:rsidRDefault="000015F3" w:rsidP="00C50CD4">
      <w:pPr>
        <w:spacing w:after="120"/>
        <w:rPr>
          <w:rFonts w:ascii="Arial" w:hAnsi="Arial" w:cs="Arial"/>
        </w:rPr>
      </w:pPr>
    </w:p>
    <w:p w14:paraId="678CBAE6" w14:textId="77777777" w:rsidR="000015F3" w:rsidRPr="00FA7A61" w:rsidRDefault="000015F3" w:rsidP="00C50CD4">
      <w:pPr>
        <w:spacing w:after="120"/>
        <w:rPr>
          <w:rFonts w:ascii="Arial" w:hAnsi="Arial" w:cs="Arial"/>
        </w:rPr>
      </w:pPr>
      <w:r w:rsidRPr="00FA7A61">
        <w:rPr>
          <w:rFonts w:ascii="Arial" w:hAnsi="Arial" w:cs="Arial"/>
        </w:rPr>
        <w:t xml:space="preserve">Par dérogation aux </w:t>
      </w:r>
      <w:r w:rsidRPr="00FA7A61">
        <w:rPr>
          <w:rFonts w:ascii="Arial" w:hAnsi="Arial" w:cs="Arial"/>
          <w:b/>
          <w:color w:val="FF0000"/>
        </w:rPr>
        <w:t>articles 19.2.4 et 19.3</w:t>
      </w:r>
      <w:r w:rsidRPr="00FA7A61">
        <w:rPr>
          <w:rFonts w:ascii="Arial" w:hAnsi="Arial" w:cs="Arial"/>
        </w:rPr>
        <w:t xml:space="preserve"> du CCAG-Travaux, sur décision du Maître d’œuvre et/ou du Maître d’Ouvrage, et pour le cas particulier des pénalités associées à un retard sur un jalon intermédiaire et à une infraction relative à la charte chantier peuvent faire l’objet d’une tolérance, lorsqu’il est estimé que le dysfonctionnement a été constaté pour la première fois et qu’il peut être corrigé par le Titulaire. Dans ce cas, la sanction procède d’un simple prélèvement provisoire sur l’acompte périodique du Titulaire, appelé retenue.</w:t>
      </w:r>
    </w:p>
    <w:p w14:paraId="1CEB02B7" w14:textId="5754AADA" w:rsidR="000015F3" w:rsidRPr="00FA7A61" w:rsidRDefault="000015F3" w:rsidP="00C50CD4">
      <w:pPr>
        <w:spacing w:after="120"/>
        <w:rPr>
          <w:rFonts w:ascii="Arial" w:hAnsi="Arial" w:cs="Arial"/>
        </w:rPr>
      </w:pPr>
    </w:p>
    <w:p w14:paraId="26D2249D" w14:textId="32675F72" w:rsidR="00B274C8" w:rsidRPr="00FA7A61" w:rsidRDefault="0098762D" w:rsidP="00C50CD4">
      <w:pPr>
        <w:pStyle w:val="Titre3"/>
        <w:numPr>
          <w:ilvl w:val="0"/>
          <w:numId w:val="8"/>
        </w:numPr>
        <w:tabs>
          <w:tab w:val="clear" w:pos="9072"/>
        </w:tabs>
        <w:spacing w:before="0" w:after="120" w:line="240" w:lineRule="auto"/>
        <w:rPr>
          <w:rFonts w:cs="Arial"/>
          <w:sz w:val="22"/>
          <w:szCs w:val="22"/>
        </w:rPr>
      </w:pPr>
      <w:r>
        <w:rPr>
          <w:rFonts w:cs="Arial"/>
          <w:sz w:val="22"/>
          <w:szCs w:val="22"/>
        </w:rPr>
        <w:lastRenderedPageBreak/>
        <w:t>Article 12 pénalités</w:t>
      </w:r>
    </w:p>
    <w:p w14:paraId="7ED3F54D" w14:textId="77777777" w:rsidR="000015F3" w:rsidRPr="00FA7A61" w:rsidRDefault="000015F3" w:rsidP="00C50CD4">
      <w:pPr>
        <w:spacing w:after="120"/>
        <w:rPr>
          <w:rFonts w:ascii="Arial" w:hAnsi="Arial" w:cs="Arial"/>
        </w:rPr>
      </w:pPr>
      <w:r w:rsidRPr="00FA7A61">
        <w:rPr>
          <w:rFonts w:ascii="Arial" w:hAnsi="Arial" w:cs="Arial"/>
        </w:rPr>
        <w:t>Par dérogation à l‘</w:t>
      </w:r>
      <w:r w:rsidRPr="00FA7A61">
        <w:rPr>
          <w:rFonts w:ascii="Arial" w:hAnsi="Arial" w:cs="Arial"/>
          <w:b/>
          <w:color w:val="FF0000"/>
        </w:rPr>
        <w:t>article 19.1</w:t>
      </w:r>
      <w:r w:rsidRPr="00FA7A61">
        <w:rPr>
          <w:rFonts w:ascii="Arial" w:hAnsi="Arial" w:cs="Arial"/>
        </w:rPr>
        <w:t xml:space="preserve"> du CCAG Travaux, les pénalités sont décrites comme suit.</w:t>
      </w:r>
    </w:p>
    <w:p w14:paraId="24768E79" w14:textId="77777777" w:rsidR="000015F3" w:rsidRPr="00FA7A61" w:rsidRDefault="000015F3" w:rsidP="00C50CD4">
      <w:pPr>
        <w:pStyle w:val="Titre2"/>
        <w:numPr>
          <w:ilvl w:val="1"/>
          <w:numId w:val="6"/>
        </w:numPr>
        <w:tabs>
          <w:tab w:val="clear" w:pos="9072"/>
        </w:tabs>
        <w:spacing w:before="0" w:line="276" w:lineRule="auto"/>
        <w:rPr>
          <w:rFonts w:cs="Arial"/>
          <w:szCs w:val="22"/>
        </w:rPr>
      </w:pPr>
      <w:bookmarkStart w:id="1" w:name="_Toc189937377"/>
      <w:r w:rsidRPr="00FA7A61">
        <w:rPr>
          <w:rFonts w:cs="Arial"/>
          <w:szCs w:val="22"/>
        </w:rPr>
        <w:t>Pénalités de retard</w:t>
      </w:r>
      <w:bookmarkEnd w:id="1"/>
    </w:p>
    <w:p w14:paraId="73448967" w14:textId="77777777" w:rsidR="000015F3" w:rsidRPr="00FA7A61" w:rsidRDefault="000015F3" w:rsidP="00C50CD4">
      <w:pPr>
        <w:pBdr>
          <w:top w:val="single" w:sz="4" w:space="1" w:color="auto"/>
          <w:left w:val="single" w:sz="4" w:space="4" w:color="auto"/>
          <w:bottom w:val="single" w:sz="4" w:space="1" w:color="auto"/>
          <w:right w:val="single" w:sz="4" w:space="4" w:color="auto"/>
        </w:pBdr>
        <w:spacing w:after="120"/>
        <w:rPr>
          <w:rFonts w:ascii="Arial" w:hAnsi="Arial" w:cs="Arial"/>
        </w:rPr>
      </w:pPr>
      <w:r w:rsidRPr="00FA7A61">
        <w:rPr>
          <w:rFonts w:ascii="Arial" w:hAnsi="Arial" w:cs="Arial"/>
        </w:rPr>
        <w:t xml:space="preserve">Pénalité de retard pour non-respect d’un </w:t>
      </w:r>
      <w:r w:rsidRPr="00FA7A61">
        <w:rPr>
          <w:rFonts w:ascii="Arial" w:hAnsi="Arial" w:cs="Arial"/>
          <w:b/>
          <w:bCs/>
        </w:rPr>
        <w:t>jalon principal identifié à l’article « délai global d’exécution</w:t>
      </w:r>
      <w:r w:rsidRPr="00FA7A61">
        <w:rPr>
          <w:rFonts w:ascii="Arial" w:hAnsi="Arial" w:cs="Arial"/>
        </w:rPr>
        <w:t xml:space="preserve"> ».</w:t>
      </w:r>
    </w:p>
    <w:p w14:paraId="27581F44" w14:textId="77777777" w:rsidR="000015F3" w:rsidRPr="00FA7A61" w:rsidRDefault="000015F3" w:rsidP="00C50CD4">
      <w:pPr>
        <w:pStyle w:val="Paragraphedeliste"/>
        <w:numPr>
          <w:ilvl w:val="0"/>
          <w:numId w:val="12"/>
        </w:numPr>
        <w:spacing w:after="120"/>
        <w:rPr>
          <w:rFonts w:ascii="Arial" w:hAnsi="Arial" w:cs="Arial"/>
        </w:rPr>
      </w:pPr>
      <w:r w:rsidRPr="00FA7A61">
        <w:rPr>
          <w:rFonts w:ascii="Arial" w:hAnsi="Arial" w:cs="Arial"/>
        </w:rPr>
        <w:t>Tout retard au franchissement d’un jalon principal fera l’objet d’une pénalité de 300 € HT par jour calendaire de retard et par sanitaire à compter du premier jour ouvrable marquant le dépassement du jalon.</w:t>
      </w:r>
    </w:p>
    <w:p w14:paraId="7AB44E70" w14:textId="77777777" w:rsidR="000015F3" w:rsidRPr="00FA7A61" w:rsidRDefault="000015F3" w:rsidP="00C50CD4">
      <w:pPr>
        <w:pBdr>
          <w:top w:val="single" w:sz="4" w:space="1" w:color="auto"/>
          <w:left w:val="single" w:sz="4" w:space="4" w:color="auto"/>
          <w:bottom w:val="single" w:sz="4" w:space="1" w:color="auto"/>
          <w:right w:val="single" w:sz="4" w:space="4" w:color="auto"/>
        </w:pBdr>
        <w:spacing w:after="120"/>
        <w:rPr>
          <w:rFonts w:ascii="Arial" w:hAnsi="Arial" w:cs="Arial"/>
          <w:b/>
          <w:bCs/>
        </w:rPr>
      </w:pPr>
      <w:r w:rsidRPr="00FA7A61">
        <w:rPr>
          <w:rFonts w:ascii="Arial" w:hAnsi="Arial" w:cs="Arial"/>
        </w:rPr>
        <w:t xml:space="preserve">Pénalité de retard pour non-respect d’un </w:t>
      </w:r>
      <w:r w:rsidRPr="00FA7A61">
        <w:rPr>
          <w:rFonts w:ascii="Arial" w:hAnsi="Arial" w:cs="Arial"/>
          <w:b/>
          <w:bCs/>
        </w:rPr>
        <w:t>jalon intermédiaire identifié à l’article « délais d’exécution partiels ».</w:t>
      </w:r>
    </w:p>
    <w:p w14:paraId="72321D9D" w14:textId="77777777" w:rsidR="000015F3" w:rsidRPr="00FA7A61" w:rsidRDefault="000015F3" w:rsidP="00C50CD4">
      <w:pPr>
        <w:pStyle w:val="Paragraphedeliste"/>
        <w:numPr>
          <w:ilvl w:val="0"/>
          <w:numId w:val="12"/>
        </w:numPr>
        <w:spacing w:after="120"/>
        <w:rPr>
          <w:rFonts w:ascii="Arial" w:hAnsi="Arial" w:cs="Arial"/>
        </w:rPr>
      </w:pPr>
      <w:r w:rsidRPr="00FA7A61">
        <w:rPr>
          <w:rFonts w:ascii="Arial" w:hAnsi="Arial" w:cs="Arial"/>
        </w:rPr>
        <w:t>Tout retard au franchissement d’un jalon principal fera l’objet d’une pénalité de 300 € HT par jour calendaire de retard à compter du premier jour ouvrable marquant le dépassement du jalon.</w:t>
      </w:r>
    </w:p>
    <w:p w14:paraId="07A704DA" w14:textId="77777777" w:rsidR="000015F3" w:rsidRPr="00FA7A61" w:rsidRDefault="000015F3" w:rsidP="00C50CD4">
      <w:pPr>
        <w:pBdr>
          <w:top w:val="single" w:sz="4" w:space="1" w:color="auto"/>
          <w:left w:val="single" w:sz="4" w:space="4" w:color="auto"/>
          <w:bottom w:val="single" w:sz="4" w:space="1" w:color="auto"/>
          <w:right w:val="single" w:sz="4" w:space="4" w:color="auto"/>
        </w:pBdr>
        <w:spacing w:after="120"/>
        <w:rPr>
          <w:rFonts w:ascii="Arial" w:hAnsi="Arial" w:cs="Arial"/>
        </w:rPr>
      </w:pPr>
      <w:r w:rsidRPr="00FA7A61">
        <w:rPr>
          <w:rFonts w:ascii="Arial" w:hAnsi="Arial" w:cs="Arial"/>
        </w:rPr>
        <w:t>Pénalité pour</w:t>
      </w:r>
      <w:r w:rsidRPr="00FA7A61">
        <w:rPr>
          <w:rFonts w:ascii="Arial" w:hAnsi="Arial" w:cs="Arial"/>
          <w:b/>
          <w:bCs/>
        </w:rPr>
        <w:t xml:space="preserve"> non-remise dans les délais d’un document</w:t>
      </w:r>
      <w:r w:rsidRPr="00FA7A61">
        <w:rPr>
          <w:rFonts w:ascii="Arial" w:hAnsi="Arial" w:cs="Arial"/>
        </w:rPr>
        <w:t xml:space="preserve"> demandé par le maître d’œuvre, le maître d’ouvrage ou le coordonnateur SPS </w:t>
      </w:r>
    </w:p>
    <w:p w14:paraId="2D71D991" w14:textId="77777777" w:rsidR="000015F3" w:rsidRPr="00FA7A61" w:rsidRDefault="000015F3" w:rsidP="00C50CD4">
      <w:pPr>
        <w:pStyle w:val="Paragraphedeliste"/>
        <w:numPr>
          <w:ilvl w:val="0"/>
          <w:numId w:val="13"/>
        </w:numPr>
        <w:spacing w:after="120"/>
        <w:rPr>
          <w:rFonts w:ascii="Arial" w:hAnsi="Arial" w:cs="Arial"/>
        </w:rPr>
      </w:pPr>
      <w:r w:rsidRPr="00FA7A61">
        <w:rPr>
          <w:rFonts w:ascii="Arial" w:hAnsi="Arial" w:cs="Arial"/>
        </w:rPr>
        <w:t>Si le délai de transmission du document n’est pas précisé ou rappelé dans la demande, il est appliqué par défaut un délai d’exécution applicable de 07 jours calendaires à compter de la notification de la demande.</w:t>
      </w:r>
    </w:p>
    <w:p w14:paraId="03B45643" w14:textId="77777777" w:rsidR="000015F3" w:rsidRPr="00FA7A61" w:rsidRDefault="000015F3" w:rsidP="00C50CD4">
      <w:pPr>
        <w:pStyle w:val="Paragraphedeliste"/>
        <w:numPr>
          <w:ilvl w:val="0"/>
          <w:numId w:val="14"/>
        </w:numPr>
        <w:spacing w:after="120"/>
        <w:rPr>
          <w:rFonts w:ascii="Arial" w:hAnsi="Arial" w:cs="Arial"/>
        </w:rPr>
      </w:pPr>
      <w:r w:rsidRPr="00FA7A61">
        <w:rPr>
          <w:rFonts w:ascii="Arial" w:hAnsi="Arial" w:cs="Arial"/>
        </w:rPr>
        <w:t xml:space="preserve">Tout retard à la transmission de tout document sollicité par les acteurs précités fera l’objet d’une pénalité de 100 € HT par jour calendaire de retard à compter du premier jour ouvrable marquant le dépassement de la date prévue pour la demande. </w:t>
      </w:r>
    </w:p>
    <w:p w14:paraId="385DFFDD" w14:textId="77777777" w:rsidR="000015F3" w:rsidRPr="00FA7A61" w:rsidRDefault="000015F3" w:rsidP="00C50CD4">
      <w:pPr>
        <w:pStyle w:val="Paragraphedeliste"/>
        <w:numPr>
          <w:ilvl w:val="0"/>
          <w:numId w:val="14"/>
        </w:numPr>
        <w:spacing w:after="120"/>
        <w:rPr>
          <w:rFonts w:ascii="Arial" w:hAnsi="Arial" w:cs="Arial"/>
        </w:rPr>
      </w:pPr>
      <w:r w:rsidRPr="00FA7A61">
        <w:rPr>
          <w:rFonts w:ascii="Arial" w:hAnsi="Arial" w:cs="Arial"/>
        </w:rPr>
        <w:t>La pénalité se porte à 200€ HT par jour calendaire de retard à compter du premier jour ouvrable marquant le dépassement de la date prévue pour la demande si elle émane du maître d’ouvrage.</w:t>
      </w:r>
    </w:p>
    <w:p w14:paraId="092D8B9E" w14:textId="77777777" w:rsidR="000015F3" w:rsidRPr="00FA7A61" w:rsidRDefault="000015F3" w:rsidP="00C50CD4">
      <w:pPr>
        <w:pStyle w:val="Paragraphedeliste"/>
        <w:numPr>
          <w:ilvl w:val="0"/>
          <w:numId w:val="14"/>
        </w:numPr>
        <w:spacing w:after="120"/>
        <w:rPr>
          <w:rFonts w:ascii="Arial" w:hAnsi="Arial" w:cs="Arial"/>
        </w:rPr>
      </w:pPr>
      <w:r w:rsidRPr="00FA7A61">
        <w:rPr>
          <w:rFonts w:ascii="Arial" w:hAnsi="Arial" w:cs="Arial"/>
        </w:rPr>
        <w:t xml:space="preserve">La pénalité se porte à 150 € HT par jour calendaire de retard à compter du premier jour ouvrable marquant le dépassement de la date prévue pour la demande si elle concerne un devis sollicité, le calendrier d’exécution détaillé du Titulaire ou sa mise à jour, </w:t>
      </w:r>
    </w:p>
    <w:p w14:paraId="3351E712" w14:textId="77777777" w:rsidR="000015F3" w:rsidRPr="00FA7A61" w:rsidRDefault="000015F3" w:rsidP="00C50CD4">
      <w:pPr>
        <w:pStyle w:val="Paragraphedeliste"/>
        <w:numPr>
          <w:ilvl w:val="0"/>
          <w:numId w:val="14"/>
        </w:numPr>
        <w:spacing w:after="120"/>
        <w:rPr>
          <w:rFonts w:ascii="Arial" w:hAnsi="Arial" w:cs="Arial"/>
        </w:rPr>
      </w:pPr>
      <w:r w:rsidRPr="00FA7A61">
        <w:rPr>
          <w:rFonts w:ascii="Arial" w:hAnsi="Arial" w:cs="Arial"/>
        </w:rPr>
        <w:t>La pénalité se porte 120 € HT par jour calendaire de retard à compter du premier jour ouvrable marquant le dépassement de la date prévue pour la demande si elle concerne ou un bordereau de suivi des déchets.</w:t>
      </w:r>
    </w:p>
    <w:p w14:paraId="681A59A1" w14:textId="77777777" w:rsidR="000015F3" w:rsidRPr="00FA7A61" w:rsidRDefault="000015F3" w:rsidP="00C50CD4">
      <w:pPr>
        <w:pBdr>
          <w:top w:val="single" w:sz="4" w:space="1" w:color="auto"/>
          <w:left w:val="single" w:sz="4" w:space="4" w:color="auto"/>
          <w:bottom w:val="single" w:sz="4" w:space="1" w:color="auto"/>
          <w:right w:val="single" w:sz="4" w:space="4" w:color="auto"/>
        </w:pBdr>
        <w:spacing w:after="120"/>
        <w:rPr>
          <w:rFonts w:ascii="Arial" w:hAnsi="Arial" w:cs="Arial"/>
        </w:rPr>
      </w:pPr>
      <w:r w:rsidRPr="00FA7A61">
        <w:rPr>
          <w:rFonts w:ascii="Arial" w:hAnsi="Arial" w:cs="Arial"/>
        </w:rPr>
        <w:t xml:space="preserve">Pénalité associée au retard ou </w:t>
      </w:r>
      <w:r w:rsidRPr="00FA7A61">
        <w:rPr>
          <w:rFonts w:ascii="Arial" w:hAnsi="Arial" w:cs="Arial"/>
          <w:b/>
          <w:bCs/>
        </w:rPr>
        <w:t>à la non-exécution d’un ordre de service</w:t>
      </w:r>
      <w:r w:rsidRPr="00FA7A61">
        <w:rPr>
          <w:rFonts w:ascii="Arial" w:hAnsi="Arial" w:cs="Arial"/>
        </w:rPr>
        <w:t>, d’une demande écrite du maître d’ouvrage, du maître d’œuvre (hors transmission de document)</w:t>
      </w:r>
    </w:p>
    <w:p w14:paraId="55ED6940" w14:textId="77777777" w:rsidR="000015F3" w:rsidRPr="00FA7A61" w:rsidRDefault="000015F3" w:rsidP="00C50CD4">
      <w:pPr>
        <w:pStyle w:val="Paragraphedeliste"/>
        <w:numPr>
          <w:ilvl w:val="0"/>
          <w:numId w:val="15"/>
        </w:numPr>
        <w:spacing w:after="120"/>
        <w:rPr>
          <w:rFonts w:ascii="Arial" w:hAnsi="Arial" w:cs="Arial"/>
        </w:rPr>
      </w:pPr>
      <w:r w:rsidRPr="00FA7A61">
        <w:rPr>
          <w:rFonts w:ascii="Arial" w:hAnsi="Arial" w:cs="Arial"/>
        </w:rPr>
        <w:t>Tout retard à l’exécution d’une demande du maître d’œuvre fera l’objet d’une pénalité de 800 € HT puis 200 € HT par jour calendaire de retard à compter du premier jour ouvrable marquant le dépassement de la date prévue pour la demande.</w:t>
      </w:r>
    </w:p>
    <w:p w14:paraId="0FEBAE72" w14:textId="77777777" w:rsidR="000015F3" w:rsidRPr="00FA7A61" w:rsidRDefault="000015F3" w:rsidP="00C50CD4">
      <w:pPr>
        <w:pBdr>
          <w:top w:val="single" w:sz="4" w:space="1" w:color="auto"/>
          <w:left w:val="single" w:sz="4" w:space="4" w:color="auto"/>
          <w:bottom w:val="single" w:sz="4" w:space="1" w:color="auto"/>
          <w:right w:val="single" w:sz="4" w:space="4" w:color="auto"/>
        </w:pBdr>
        <w:spacing w:after="120"/>
        <w:rPr>
          <w:rFonts w:ascii="Arial" w:hAnsi="Arial" w:cs="Arial"/>
        </w:rPr>
      </w:pPr>
      <w:r w:rsidRPr="00FA7A61">
        <w:rPr>
          <w:rFonts w:ascii="Arial" w:hAnsi="Arial" w:cs="Arial"/>
        </w:rPr>
        <w:t xml:space="preserve">Pénalité associée à la </w:t>
      </w:r>
      <w:r w:rsidRPr="00FA7A61">
        <w:rPr>
          <w:rFonts w:ascii="Arial" w:hAnsi="Arial" w:cs="Arial"/>
          <w:b/>
          <w:bCs/>
        </w:rPr>
        <w:t>non-transmission de l’accusé de réception d’un ordre de service</w:t>
      </w:r>
      <w:r w:rsidRPr="00FA7A61">
        <w:rPr>
          <w:rFonts w:ascii="Arial" w:hAnsi="Arial" w:cs="Arial"/>
        </w:rPr>
        <w:t xml:space="preserve"> transmis par voie électronique à l’adresse indiquée par le Titulaire et consultée quotidiennement.</w:t>
      </w:r>
    </w:p>
    <w:p w14:paraId="5F8FF7FF" w14:textId="77777777" w:rsidR="000015F3" w:rsidRPr="00FA7A61" w:rsidRDefault="000015F3" w:rsidP="00C50CD4">
      <w:pPr>
        <w:pStyle w:val="Paragraphedeliste"/>
        <w:numPr>
          <w:ilvl w:val="0"/>
          <w:numId w:val="16"/>
        </w:numPr>
        <w:spacing w:after="120"/>
        <w:rPr>
          <w:rFonts w:ascii="Arial" w:hAnsi="Arial" w:cs="Arial"/>
        </w:rPr>
      </w:pPr>
      <w:r w:rsidRPr="00FA7A61">
        <w:rPr>
          <w:rFonts w:ascii="Arial" w:hAnsi="Arial" w:cs="Arial"/>
        </w:rPr>
        <w:t>50 € HT par jour calendaire de retard à compter du premier jour ouvrable suivant l’envoi électronique avec demande d’AR.</w:t>
      </w:r>
    </w:p>
    <w:p w14:paraId="3129CE66" w14:textId="77777777" w:rsidR="000015F3" w:rsidRPr="00FA7A61" w:rsidRDefault="000015F3" w:rsidP="00C50CD4">
      <w:pPr>
        <w:pBdr>
          <w:top w:val="single" w:sz="4" w:space="1" w:color="auto"/>
          <w:left w:val="single" w:sz="4" w:space="4" w:color="auto"/>
          <w:bottom w:val="single" w:sz="4" w:space="1" w:color="auto"/>
          <w:right w:val="single" w:sz="4" w:space="4" w:color="auto"/>
        </w:pBdr>
        <w:spacing w:after="120"/>
        <w:rPr>
          <w:rFonts w:ascii="Arial" w:hAnsi="Arial" w:cs="Arial"/>
        </w:rPr>
      </w:pPr>
      <w:r w:rsidRPr="00FA7A61">
        <w:rPr>
          <w:rFonts w:ascii="Arial" w:hAnsi="Arial" w:cs="Arial"/>
        </w:rPr>
        <w:t xml:space="preserve">Pénalité de retard à la </w:t>
      </w:r>
      <w:r w:rsidRPr="00FA7A61">
        <w:rPr>
          <w:rFonts w:ascii="Arial" w:hAnsi="Arial" w:cs="Arial"/>
          <w:b/>
          <w:bCs/>
        </w:rPr>
        <w:t>levée de réserves</w:t>
      </w:r>
    </w:p>
    <w:p w14:paraId="2BDFF3F3" w14:textId="77777777" w:rsidR="000015F3" w:rsidRPr="00FA7A61" w:rsidRDefault="000015F3" w:rsidP="00C50CD4">
      <w:pPr>
        <w:pStyle w:val="Paragraphedeliste"/>
        <w:numPr>
          <w:ilvl w:val="0"/>
          <w:numId w:val="17"/>
        </w:numPr>
        <w:spacing w:after="120"/>
        <w:rPr>
          <w:rFonts w:ascii="Arial" w:hAnsi="Arial" w:cs="Arial"/>
        </w:rPr>
      </w:pPr>
      <w:r w:rsidRPr="00FA7A61">
        <w:rPr>
          <w:rFonts w:ascii="Arial" w:hAnsi="Arial" w:cs="Arial"/>
        </w:rPr>
        <w:t>Tout retard à la levée de réserve fera l’objet d’une pénalité de 100 € HT par jour calendaire de retard et par réserve à compter du premier jour ouvrable marquant le dépassement de la date prévue pour la levée de cette réserve lorsqu’elle a été notifiée par le maître d’œuvre au Titulaire.</w:t>
      </w:r>
    </w:p>
    <w:p w14:paraId="499E8366" w14:textId="77777777" w:rsidR="000015F3" w:rsidRPr="00FA7A61" w:rsidRDefault="000015F3" w:rsidP="00C50CD4">
      <w:pPr>
        <w:pBdr>
          <w:top w:val="single" w:sz="4" w:space="1" w:color="auto"/>
          <w:left w:val="single" w:sz="4" w:space="4" w:color="auto"/>
          <w:bottom w:val="single" w:sz="4" w:space="1" w:color="auto"/>
          <w:right w:val="single" w:sz="4" w:space="4" w:color="auto"/>
        </w:pBdr>
        <w:spacing w:after="120"/>
        <w:rPr>
          <w:rFonts w:ascii="Arial" w:hAnsi="Arial" w:cs="Arial"/>
        </w:rPr>
      </w:pPr>
      <w:r w:rsidRPr="00FA7A61">
        <w:rPr>
          <w:rFonts w:ascii="Arial" w:hAnsi="Arial" w:cs="Arial"/>
        </w:rPr>
        <w:t xml:space="preserve">Pénalité de retard pour </w:t>
      </w:r>
      <w:r w:rsidRPr="00FA7A61">
        <w:rPr>
          <w:rFonts w:ascii="Arial" w:hAnsi="Arial" w:cs="Arial"/>
          <w:b/>
          <w:bCs/>
        </w:rPr>
        <w:t>incomplétude des DOE</w:t>
      </w:r>
      <w:r w:rsidRPr="00FA7A61">
        <w:rPr>
          <w:rFonts w:ascii="Arial" w:hAnsi="Arial" w:cs="Arial"/>
        </w:rPr>
        <w:t xml:space="preserve"> à la réception du chantier</w:t>
      </w:r>
    </w:p>
    <w:p w14:paraId="6123BCE4" w14:textId="77777777" w:rsidR="000015F3" w:rsidRPr="00FA7A61" w:rsidRDefault="000015F3" w:rsidP="00C50CD4">
      <w:pPr>
        <w:pStyle w:val="Paragraphedeliste"/>
        <w:numPr>
          <w:ilvl w:val="0"/>
          <w:numId w:val="18"/>
        </w:numPr>
        <w:spacing w:after="120"/>
        <w:rPr>
          <w:rFonts w:ascii="Arial" w:hAnsi="Arial" w:cs="Arial"/>
        </w:rPr>
      </w:pPr>
      <w:r w:rsidRPr="00FA7A61">
        <w:rPr>
          <w:rFonts w:ascii="Arial" w:hAnsi="Arial" w:cs="Arial"/>
        </w:rPr>
        <w:lastRenderedPageBreak/>
        <w:t>La complétude des DOE est considérée sur un mode binaire : complet ou incomplet. Tout retard à la complétude des DOE fera l’objet d’une pénalité de 1000 € HT par jour calendaire de retard à compter du premier jour ouvrable marquant le dépassement du jalon de réception.</w:t>
      </w:r>
    </w:p>
    <w:p w14:paraId="331252B1" w14:textId="77777777" w:rsidR="000015F3" w:rsidRPr="00FA7A61" w:rsidRDefault="000015F3" w:rsidP="00C50CD4">
      <w:pPr>
        <w:pBdr>
          <w:top w:val="single" w:sz="4" w:space="1" w:color="auto"/>
          <w:left w:val="single" w:sz="4" w:space="4" w:color="auto"/>
          <w:bottom w:val="single" w:sz="4" w:space="1" w:color="auto"/>
          <w:right w:val="single" w:sz="4" w:space="4" w:color="auto"/>
        </w:pBdr>
        <w:spacing w:after="120"/>
        <w:rPr>
          <w:rFonts w:ascii="Arial" w:hAnsi="Arial" w:cs="Arial"/>
          <w:b/>
          <w:bCs/>
        </w:rPr>
      </w:pPr>
      <w:r w:rsidRPr="00FA7A61">
        <w:rPr>
          <w:rFonts w:ascii="Arial" w:hAnsi="Arial" w:cs="Arial"/>
        </w:rPr>
        <w:t xml:space="preserve">Pénalité de retard dans </w:t>
      </w:r>
      <w:r w:rsidRPr="00FA7A61">
        <w:rPr>
          <w:rFonts w:ascii="Arial" w:hAnsi="Arial" w:cs="Arial"/>
          <w:b/>
          <w:bCs/>
        </w:rPr>
        <w:t>le traitement d’un désordre signalé dans le cadre de la GPA</w:t>
      </w:r>
    </w:p>
    <w:p w14:paraId="60FB1E4D" w14:textId="77777777" w:rsidR="000015F3" w:rsidRPr="00FA7A61" w:rsidRDefault="000015F3" w:rsidP="00C50CD4">
      <w:pPr>
        <w:pStyle w:val="Paragraphedeliste"/>
        <w:numPr>
          <w:ilvl w:val="0"/>
          <w:numId w:val="19"/>
        </w:numPr>
        <w:spacing w:after="120"/>
        <w:rPr>
          <w:rFonts w:ascii="Arial" w:hAnsi="Arial" w:cs="Arial"/>
        </w:rPr>
      </w:pPr>
      <w:r w:rsidRPr="00FA7A61">
        <w:rPr>
          <w:rFonts w:ascii="Arial" w:hAnsi="Arial" w:cs="Arial"/>
        </w:rPr>
        <w:t>Tout retard au traitement d’un désordre fera l’objet d’une pénalité de 300 € HT par jour calendaire de retard et par désordres à compter du premier jour ouvrable marquant le dépassement de la date prévue pour la prise en charge de ce désordre.</w:t>
      </w:r>
    </w:p>
    <w:p w14:paraId="1CC64D30" w14:textId="77777777" w:rsidR="000015F3" w:rsidRPr="00FA7A61" w:rsidRDefault="000015F3" w:rsidP="00C50CD4">
      <w:pPr>
        <w:pBdr>
          <w:top w:val="single" w:sz="4" w:space="1" w:color="auto"/>
          <w:left w:val="single" w:sz="4" w:space="4" w:color="auto"/>
          <w:bottom w:val="single" w:sz="4" w:space="1" w:color="auto"/>
          <w:right w:val="single" w:sz="4" w:space="4" w:color="auto"/>
        </w:pBdr>
        <w:spacing w:after="120"/>
        <w:rPr>
          <w:rFonts w:ascii="Arial" w:hAnsi="Arial" w:cs="Arial"/>
          <w:b/>
          <w:bCs/>
        </w:rPr>
      </w:pPr>
      <w:r w:rsidRPr="00FA7A61">
        <w:rPr>
          <w:rFonts w:ascii="Arial" w:hAnsi="Arial" w:cs="Arial"/>
        </w:rPr>
        <w:t xml:space="preserve">Pénalité en cas de </w:t>
      </w:r>
      <w:r w:rsidRPr="00FA7A61">
        <w:rPr>
          <w:rFonts w:ascii="Arial" w:hAnsi="Arial" w:cs="Arial"/>
          <w:b/>
          <w:bCs/>
        </w:rPr>
        <w:t>retard ou absence à une réunion.</w:t>
      </w:r>
    </w:p>
    <w:p w14:paraId="7E8BDC69" w14:textId="77777777" w:rsidR="000015F3" w:rsidRPr="00FA7A61" w:rsidRDefault="000015F3" w:rsidP="00C50CD4">
      <w:pPr>
        <w:pStyle w:val="Paragraphedeliste"/>
        <w:numPr>
          <w:ilvl w:val="0"/>
          <w:numId w:val="20"/>
        </w:numPr>
        <w:spacing w:after="120"/>
        <w:rPr>
          <w:rFonts w:ascii="Arial" w:hAnsi="Arial" w:cs="Arial"/>
        </w:rPr>
      </w:pPr>
      <w:r w:rsidRPr="00FA7A61">
        <w:rPr>
          <w:rFonts w:ascii="Arial" w:hAnsi="Arial" w:cs="Arial"/>
        </w:rPr>
        <w:t>Tout retard de plus de 30 mn ou absence non excusée à une réunion à laquelle le Titulaire a été dûment convoqué fera l’objet d’une pénalité forfaitaire 300 € HT.</w:t>
      </w:r>
    </w:p>
    <w:p w14:paraId="5693AE44" w14:textId="77777777" w:rsidR="000015F3" w:rsidRPr="00FA7A61" w:rsidRDefault="000015F3" w:rsidP="00C50CD4">
      <w:pPr>
        <w:pBdr>
          <w:top w:val="single" w:sz="4" w:space="1" w:color="auto"/>
          <w:left w:val="single" w:sz="4" w:space="4" w:color="auto"/>
          <w:bottom w:val="single" w:sz="4" w:space="1" w:color="auto"/>
          <w:right w:val="single" w:sz="4" w:space="4" w:color="auto"/>
        </w:pBdr>
        <w:spacing w:after="120"/>
        <w:rPr>
          <w:rFonts w:ascii="Arial" w:hAnsi="Arial" w:cs="Arial"/>
          <w:b/>
          <w:bCs/>
        </w:rPr>
      </w:pPr>
      <w:r w:rsidRPr="00FA7A61">
        <w:rPr>
          <w:rFonts w:ascii="Arial" w:hAnsi="Arial" w:cs="Arial"/>
        </w:rPr>
        <w:t xml:space="preserve">Pénalité en cas de </w:t>
      </w:r>
      <w:r w:rsidRPr="00FA7A61">
        <w:rPr>
          <w:rFonts w:ascii="Arial" w:hAnsi="Arial" w:cs="Arial"/>
          <w:b/>
          <w:bCs/>
        </w:rPr>
        <w:t>retard au repliement des installations de chantier</w:t>
      </w:r>
    </w:p>
    <w:p w14:paraId="7A9145EF" w14:textId="77777777" w:rsidR="000015F3" w:rsidRPr="00FA7A61" w:rsidRDefault="000015F3" w:rsidP="00C50CD4">
      <w:pPr>
        <w:pStyle w:val="Paragraphedeliste"/>
        <w:numPr>
          <w:ilvl w:val="0"/>
          <w:numId w:val="21"/>
        </w:numPr>
        <w:spacing w:after="120"/>
        <w:rPr>
          <w:rFonts w:ascii="Arial" w:hAnsi="Arial" w:cs="Arial"/>
        </w:rPr>
      </w:pPr>
      <w:r w:rsidRPr="00FA7A61">
        <w:rPr>
          <w:rFonts w:ascii="Arial" w:hAnsi="Arial" w:cs="Arial"/>
        </w:rPr>
        <w:t>En cas de retard au repliement des installations de chantier, la pénalité est de : 1/5000ème du montant du marché par jour calendaire jusqu’à parfaite remise en état.</w:t>
      </w:r>
    </w:p>
    <w:p w14:paraId="3234DCDC" w14:textId="77777777" w:rsidR="000015F3" w:rsidRPr="00FA7A61" w:rsidRDefault="000015F3" w:rsidP="00C50CD4">
      <w:pPr>
        <w:pStyle w:val="Titre2"/>
        <w:numPr>
          <w:ilvl w:val="1"/>
          <w:numId w:val="6"/>
        </w:numPr>
        <w:tabs>
          <w:tab w:val="clear" w:pos="9072"/>
        </w:tabs>
        <w:spacing w:before="0" w:line="276" w:lineRule="auto"/>
        <w:rPr>
          <w:rFonts w:cs="Arial"/>
          <w:szCs w:val="22"/>
        </w:rPr>
      </w:pPr>
      <w:bookmarkStart w:id="2" w:name="_Toc189937378"/>
      <w:r w:rsidRPr="00FA7A61">
        <w:rPr>
          <w:rFonts w:cs="Arial"/>
          <w:szCs w:val="22"/>
        </w:rPr>
        <w:t>Pénalités relatives au chantier à faible nuisance et à l’environnement</w:t>
      </w:r>
      <w:bookmarkEnd w:id="2"/>
    </w:p>
    <w:p w14:paraId="3109A14A" w14:textId="77777777" w:rsidR="000015F3" w:rsidRPr="00FA7A61" w:rsidRDefault="000015F3" w:rsidP="00C50CD4">
      <w:pPr>
        <w:spacing w:after="120"/>
        <w:rPr>
          <w:rFonts w:ascii="Arial" w:hAnsi="Arial" w:cs="Arial"/>
        </w:rPr>
      </w:pPr>
      <w:r w:rsidRPr="00FA7A61">
        <w:rPr>
          <w:rFonts w:ascii="Arial" w:hAnsi="Arial" w:cs="Arial"/>
        </w:rPr>
        <w:t>Ces pénalités sont appliquées sur simple constat au Titulaire qui aura charge de la répercuter sur le sous-traitant responsable de l’infraction le cas échéant.</w:t>
      </w:r>
    </w:p>
    <w:p w14:paraId="3A8B5387" w14:textId="77777777" w:rsidR="000015F3" w:rsidRPr="00FA7A61" w:rsidRDefault="000015F3" w:rsidP="00C50CD4">
      <w:pPr>
        <w:pBdr>
          <w:top w:val="single" w:sz="4" w:space="1" w:color="auto"/>
          <w:left w:val="single" w:sz="4" w:space="4" w:color="auto"/>
          <w:bottom w:val="single" w:sz="4" w:space="1" w:color="auto"/>
          <w:right w:val="single" w:sz="4" w:space="4" w:color="auto"/>
        </w:pBdr>
        <w:spacing w:after="120"/>
        <w:rPr>
          <w:rFonts w:ascii="Arial" w:hAnsi="Arial" w:cs="Arial"/>
        </w:rPr>
      </w:pPr>
      <w:r w:rsidRPr="00FA7A61">
        <w:rPr>
          <w:rFonts w:ascii="Arial" w:hAnsi="Arial" w:cs="Arial"/>
        </w:rPr>
        <w:t xml:space="preserve">Pénalité pour non-respect </w:t>
      </w:r>
      <w:r w:rsidRPr="00FA7A61">
        <w:rPr>
          <w:rFonts w:ascii="Arial" w:hAnsi="Arial" w:cs="Arial"/>
          <w:b/>
          <w:bCs/>
        </w:rPr>
        <w:t>des dispositions de la charte chantier</w:t>
      </w:r>
      <w:bookmarkStart w:id="3" w:name="_GoBack"/>
      <w:bookmarkEnd w:id="3"/>
    </w:p>
    <w:p w14:paraId="0E103B5C" w14:textId="77777777" w:rsidR="000015F3" w:rsidRPr="00FA7A61" w:rsidRDefault="000015F3" w:rsidP="00C50CD4">
      <w:pPr>
        <w:pStyle w:val="Paragraphedeliste"/>
        <w:numPr>
          <w:ilvl w:val="0"/>
          <w:numId w:val="22"/>
        </w:numPr>
        <w:spacing w:after="120"/>
        <w:rPr>
          <w:rFonts w:ascii="Arial" w:hAnsi="Arial" w:cs="Arial"/>
        </w:rPr>
      </w:pPr>
      <w:r w:rsidRPr="00FA7A61">
        <w:rPr>
          <w:rFonts w:ascii="Arial" w:hAnsi="Arial" w:cs="Arial"/>
        </w:rPr>
        <w:t>500 € HT pour chaque infraction constatée puis 200€ HT par jour à partir du premier jour ouvrable au lendemain du constat et jusqu’à résolution parfaite</w:t>
      </w:r>
    </w:p>
    <w:p w14:paraId="1FC1FFAE" w14:textId="77777777" w:rsidR="000015F3" w:rsidRPr="00FA7A61" w:rsidRDefault="000015F3" w:rsidP="00C50CD4">
      <w:pPr>
        <w:pBdr>
          <w:top w:val="single" w:sz="4" w:space="1" w:color="auto"/>
          <w:left w:val="single" w:sz="4" w:space="4" w:color="auto"/>
          <w:bottom w:val="single" w:sz="4" w:space="1" w:color="auto"/>
          <w:right w:val="single" w:sz="4" w:space="4" w:color="auto"/>
        </w:pBdr>
        <w:spacing w:after="120"/>
        <w:rPr>
          <w:rFonts w:ascii="Arial" w:hAnsi="Arial" w:cs="Arial"/>
        </w:rPr>
      </w:pPr>
      <w:r w:rsidRPr="00FA7A61">
        <w:rPr>
          <w:rFonts w:ascii="Arial" w:hAnsi="Arial" w:cs="Arial"/>
        </w:rPr>
        <w:t xml:space="preserve">Pénalité pour dégradation de l’existant ou à l’environnement : </w:t>
      </w:r>
    </w:p>
    <w:p w14:paraId="707A8615" w14:textId="4A8E268C" w:rsidR="000015F3" w:rsidRPr="00FA7A61" w:rsidRDefault="000015F3" w:rsidP="00C50CD4">
      <w:pPr>
        <w:pStyle w:val="Paragraphedeliste"/>
        <w:numPr>
          <w:ilvl w:val="0"/>
          <w:numId w:val="22"/>
        </w:numPr>
        <w:spacing w:after="120"/>
        <w:rPr>
          <w:rFonts w:ascii="Arial" w:hAnsi="Arial" w:cs="Arial"/>
        </w:rPr>
      </w:pPr>
      <w:r w:rsidRPr="00FA7A61">
        <w:rPr>
          <w:rFonts w:ascii="Arial" w:hAnsi="Arial" w:cs="Arial"/>
        </w:rPr>
        <w:t xml:space="preserve">1000 € HT par infraction constatée puis 100 € HT par jour jusqu’à parfaite remise en état par le Titulaire. </w:t>
      </w:r>
    </w:p>
    <w:p w14:paraId="4A699357" w14:textId="77777777" w:rsidR="00C50CD4" w:rsidRPr="00FA7A61" w:rsidRDefault="00C50CD4" w:rsidP="00C50CD4">
      <w:pPr>
        <w:spacing w:after="120"/>
        <w:rPr>
          <w:rFonts w:ascii="Arial" w:hAnsi="Arial" w:cs="Arial"/>
        </w:rPr>
      </w:pPr>
    </w:p>
    <w:p w14:paraId="2776C599" w14:textId="77777777" w:rsidR="000015F3" w:rsidRPr="00FA7A61" w:rsidRDefault="000015F3" w:rsidP="00C50CD4">
      <w:pPr>
        <w:pStyle w:val="Titre2"/>
        <w:numPr>
          <w:ilvl w:val="1"/>
          <w:numId w:val="6"/>
        </w:numPr>
        <w:tabs>
          <w:tab w:val="clear" w:pos="9072"/>
        </w:tabs>
        <w:spacing w:before="0" w:line="276" w:lineRule="auto"/>
        <w:rPr>
          <w:rFonts w:cs="Arial"/>
          <w:szCs w:val="22"/>
        </w:rPr>
      </w:pPr>
      <w:bookmarkStart w:id="4" w:name="_Toc189937379"/>
      <w:r w:rsidRPr="00FA7A61">
        <w:rPr>
          <w:rFonts w:cs="Arial"/>
          <w:szCs w:val="22"/>
        </w:rPr>
        <w:t>Pénalités relatives à l’hygiène à la sécurité et au droit du travail</w:t>
      </w:r>
      <w:bookmarkEnd w:id="4"/>
    </w:p>
    <w:p w14:paraId="12873CB3" w14:textId="77777777" w:rsidR="000015F3" w:rsidRPr="00FA7A61" w:rsidRDefault="000015F3" w:rsidP="00C50CD4">
      <w:pPr>
        <w:pBdr>
          <w:top w:val="single" w:sz="4" w:space="1" w:color="auto"/>
          <w:left w:val="single" w:sz="4" w:space="4" w:color="auto"/>
          <w:bottom w:val="single" w:sz="4" w:space="1" w:color="auto"/>
          <w:right w:val="single" w:sz="4" w:space="4" w:color="auto"/>
        </w:pBdr>
        <w:spacing w:after="120"/>
        <w:rPr>
          <w:rFonts w:ascii="Arial" w:hAnsi="Arial" w:cs="Arial"/>
        </w:rPr>
      </w:pPr>
      <w:r w:rsidRPr="00FA7A61">
        <w:rPr>
          <w:rFonts w:ascii="Arial" w:hAnsi="Arial" w:cs="Arial"/>
        </w:rPr>
        <w:t xml:space="preserve">Pénalité pour </w:t>
      </w:r>
      <w:r w:rsidRPr="00FA7A61">
        <w:rPr>
          <w:rFonts w:ascii="Arial" w:hAnsi="Arial" w:cs="Arial"/>
          <w:b/>
          <w:bCs/>
        </w:rPr>
        <w:t>entrave à l’évacuation incendie</w:t>
      </w:r>
      <w:r w:rsidRPr="00FA7A61">
        <w:rPr>
          <w:rFonts w:ascii="Arial" w:hAnsi="Arial" w:cs="Arial"/>
        </w:rPr>
        <w:t xml:space="preserve"> dans une zone universitaire : </w:t>
      </w:r>
    </w:p>
    <w:p w14:paraId="693068C1" w14:textId="77777777" w:rsidR="000015F3" w:rsidRPr="00FA7A61" w:rsidRDefault="000015F3" w:rsidP="00C50CD4">
      <w:pPr>
        <w:pStyle w:val="Paragraphedeliste"/>
        <w:numPr>
          <w:ilvl w:val="0"/>
          <w:numId w:val="22"/>
        </w:numPr>
        <w:spacing w:after="120"/>
        <w:rPr>
          <w:rFonts w:ascii="Arial" w:hAnsi="Arial" w:cs="Arial"/>
        </w:rPr>
      </w:pPr>
      <w:r w:rsidRPr="00FA7A61">
        <w:rPr>
          <w:rFonts w:ascii="Arial" w:hAnsi="Arial" w:cs="Arial"/>
        </w:rPr>
        <w:t>500 € HT pour chaque infraction constatée puis 500€ HT par jour à partir du premier jour ouvrable au lendemain du constat et jusqu’à résolution parfaite</w:t>
      </w:r>
    </w:p>
    <w:p w14:paraId="012FAA21" w14:textId="77777777" w:rsidR="000015F3" w:rsidRPr="00FA7A61" w:rsidRDefault="000015F3" w:rsidP="00C50CD4">
      <w:pPr>
        <w:pBdr>
          <w:top w:val="single" w:sz="4" w:space="1" w:color="auto"/>
          <w:left w:val="single" w:sz="4" w:space="4" w:color="auto"/>
          <w:bottom w:val="single" w:sz="4" w:space="1" w:color="auto"/>
          <w:right w:val="single" w:sz="4" w:space="4" w:color="auto"/>
        </w:pBdr>
        <w:spacing w:after="120"/>
        <w:rPr>
          <w:rFonts w:ascii="Arial" w:hAnsi="Arial" w:cs="Arial"/>
        </w:rPr>
      </w:pPr>
      <w:r w:rsidRPr="00FA7A61">
        <w:rPr>
          <w:rFonts w:ascii="Arial" w:hAnsi="Arial" w:cs="Arial"/>
        </w:rPr>
        <w:t xml:space="preserve">Pénalité pour </w:t>
      </w:r>
      <w:r w:rsidRPr="00FA7A61">
        <w:rPr>
          <w:rFonts w:ascii="Arial" w:hAnsi="Arial" w:cs="Arial"/>
          <w:b/>
          <w:bCs/>
        </w:rPr>
        <w:t>non-respect des prescriptions relatives à la sécurité, à l'hygiène, à la signalisation générale du</w:t>
      </w:r>
      <w:r w:rsidRPr="00FA7A61">
        <w:rPr>
          <w:rFonts w:ascii="Arial" w:hAnsi="Arial" w:cs="Arial"/>
        </w:rPr>
        <w:t xml:space="preserve"> chantier : </w:t>
      </w:r>
    </w:p>
    <w:p w14:paraId="1C9E6AB0" w14:textId="77777777" w:rsidR="000015F3" w:rsidRPr="00FA7A61" w:rsidRDefault="000015F3" w:rsidP="00C50CD4">
      <w:pPr>
        <w:pStyle w:val="Paragraphedeliste"/>
        <w:numPr>
          <w:ilvl w:val="0"/>
          <w:numId w:val="22"/>
        </w:numPr>
        <w:spacing w:after="120"/>
        <w:rPr>
          <w:rFonts w:ascii="Arial" w:hAnsi="Arial" w:cs="Arial"/>
        </w:rPr>
      </w:pPr>
      <w:r w:rsidRPr="00FA7A61">
        <w:rPr>
          <w:rFonts w:ascii="Arial" w:hAnsi="Arial" w:cs="Arial"/>
        </w:rPr>
        <w:t>500 € HT par jour calendaire pour chaque infraction constatée, à partir du jour du constat et jusqu’à résolution parfaite.</w:t>
      </w:r>
    </w:p>
    <w:p w14:paraId="046FAC59" w14:textId="77777777" w:rsidR="000015F3" w:rsidRPr="00FA7A61" w:rsidRDefault="000015F3" w:rsidP="00C50CD4">
      <w:pPr>
        <w:pBdr>
          <w:top w:val="single" w:sz="4" w:space="1" w:color="auto"/>
          <w:left w:val="single" w:sz="4" w:space="4" w:color="auto"/>
          <w:bottom w:val="single" w:sz="4" w:space="1" w:color="auto"/>
          <w:right w:val="single" w:sz="4" w:space="4" w:color="auto"/>
        </w:pBdr>
        <w:spacing w:after="120"/>
        <w:rPr>
          <w:rFonts w:ascii="Arial" w:hAnsi="Arial" w:cs="Arial"/>
        </w:rPr>
      </w:pPr>
      <w:r w:rsidRPr="00FA7A61">
        <w:rPr>
          <w:rFonts w:ascii="Arial" w:hAnsi="Arial" w:cs="Arial"/>
        </w:rPr>
        <w:t xml:space="preserve">Pénalité pour </w:t>
      </w:r>
      <w:r w:rsidRPr="00FA7A61">
        <w:rPr>
          <w:rFonts w:ascii="Arial" w:hAnsi="Arial" w:cs="Arial"/>
          <w:b/>
          <w:bCs/>
        </w:rPr>
        <w:t xml:space="preserve">non-respect d’une disposition du code du travail </w:t>
      </w:r>
      <w:r w:rsidRPr="00FA7A61">
        <w:rPr>
          <w:rFonts w:ascii="Arial" w:hAnsi="Arial" w:cs="Arial"/>
        </w:rPr>
        <w:t xml:space="preserve">: </w:t>
      </w:r>
    </w:p>
    <w:p w14:paraId="4B33791B" w14:textId="77777777" w:rsidR="000015F3" w:rsidRPr="00FA7A61" w:rsidRDefault="000015F3" w:rsidP="00C50CD4">
      <w:pPr>
        <w:pStyle w:val="Paragraphedeliste"/>
        <w:numPr>
          <w:ilvl w:val="0"/>
          <w:numId w:val="23"/>
        </w:numPr>
        <w:spacing w:after="120"/>
        <w:rPr>
          <w:rFonts w:ascii="Arial" w:hAnsi="Arial" w:cs="Arial"/>
        </w:rPr>
      </w:pPr>
      <w:r w:rsidRPr="00FA7A61">
        <w:rPr>
          <w:rFonts w:ascii="Arial" w:hAnsi="Arial" w:cs="Arial"/>
        </w:rPr>
        <w:t>2000 € HT au constat et 500 € HT par jour calendaire pour chaque infraction constatée, à partir du jour du constat et jusqu’à résolution parfaite. Exclusion immédiate du chantier aux torts du Titulaire en cas de présence d’un sous-traitant non déclaré.</w:t>
      </w:r>
    </w:p>
    <w:p w14:paraId="10B9EDCC" w14:textId="77777777" w:rsidR="000015F3" w:rsidRPr="00FA7A61" w:rsidRDefault="000015F3" w:rsidP="00C50CD4">
      <w:pPr>
        <w:pBdr>
          <w:top w:val="single" w:sz="4" w:space="1" w:color="auto"/>
          <w:left w:val="single" w:sz="4" w:space="4" w:color="auto"/>
          <w:bottom w:val="single" w:sz="4" w:space="1" w:color="auto"/>
          <w:right w:val="single" w:sz="4" w:space="4" w:color="auto"/>
        </w:pBdr>
        <w:spacing w:after="120"/>
        <w:rPr>
          <w:rFonts w:ascii="Arial" w:hAnsi="Arial" w:cs="Arial"/>
        </w:rPr>
      </w:pPr>
      <w:r w:rsidRPr="00FA7A61">
        <w:rPr>
          <w:rFonts w:ascii="Arial" w:hAnsi="Arial" w:cs="Arial"/>
        </w:rPr>
        <w:t xml:space="preserve">Pénalité pour </w:t>
      </w:r>
      <w:r w:rsidRPr="00FA7A61">
        <w:rPr>
          <w:rFonts w:ascii="Arial" w:hAnsi="Arial" w:cs="Arial"/>
          <w:b/>
          <w:bCs/>
        </w:rPr>
        <w:t>non-respect des objectifs d’insertion au titre de la clause sociale</w:t>
      </w:r>
      <w:r w:rsidRPr="00FA7A61">
        <w:rPr>
          <w:rFonts w:ascii="Arial" w:hAnsi="Arial" w:cs="Arial"/>
        </w:rPr>
        <w:t xml:space="preserve"> : </w:t>
      </w:r>
    </w:p>
    <w:p w14:paraId="47E452F9" w14:textId="77777777" w:rsidR="000015F3" w:rsidRPr="00FA7A61" w:rsidRDefault="000015F3" w:rsidP="00C50CD4">
      <w:pPr>
        <w:spacing w:after="120"/>
        <w:rPr>
          <w:rFonts w:ascii="Arial" w:hAnsi="Arial" w:cs="Arial"/>
        </w:rPr>
      </w:pPr>
      <w:r w:rsidRPr="00FA7A61">
        <w:rPr>
          <w:rFonts w:ascii="Arial" w:hAnsi="Arial" w:cs="Arial"/>
        </w:rPr>
        <w:t>Si la clause d’insertion sociale est activée à la notification du marché :</w:t>
      </w:r>
    </w:p>
    <w:p w14:paraId="1D4FE636" w14:textId="77777777" w:rsidR="000015F3" w:rsidRPr="00FA7A61" w:rsidRDefault="000015F3" w:rsidP="00C50CD4">
      <w:pPr>
        <w:pStyle w:val="Paragraphedeliste"/>
        <w:numPr>
          <w:ilvl w:val="0"/>
          <w:numId w:val="23"/>
        </w:numPr>
        <w:spacing w:after="120"/>
        <w:rPr>
          <w:rFonts w:ascii="Arial" w:hAnsi="Arial" w:cs="Arial"/>
        </w:rPr>
      </w:pPr>
      <w:r w:rsidRPr="00FA7A61">
        <w:rPr>
          <w:rFonts w:ascii="Arial" w:hAnsi="Arial" w:cs="Arial"/>
        </w:rPr>
        <w:t>En cas de non-respect du volume d’insertion contractuel au titre de la clause sociale il sera appliqué au Titulaire une pénalité égale au produit de trois fois le SMIC horaire net (en vigueur au moment de la pénalité) par le nombre d’heures d’insertion non réalisées.</w:t>
      </w:r>
    </w:p>
    <w:p w14:paraId="1D3F7199" w14:textId="2C68AA1A" w:rsidR="000015F3" w:rsidRPr="00FA7A61" w:rsidRDefault="000015F3" w:rsidP="00C50CD4">
      <w:pPr>
        <w:pStyle w:val="Paragraphedeliste"/>
        <w:numPr>
          <w:ilvl w:val="0"/>
          <w:numId w:val="23"/>
        </w:numPr>
        <w:spacing w:after="120"/>
        <w:rPr>
          <w:rFonts w:ascii="Arial" w:hAnsi="Arial" w:cs="Arial"/>
        </w:rPr>
      </w:pPr>
      <w:r w:rsidRPr="00FA7A61">
        <w:rPr>
          <w:rFonts w:ascii="Arial" w:hAnsi="Arial" w:cs="Arial"/>
        </w:rPr>
        <w:lastRenderedPageBreak/>
        <w:t>En cas de défaut de transmission des documents liés à l’insertion sociale dans les délais, de retard de transmission du bilan périodique d’insertion, du décompte périodique d’insertion, du bilan final, des justificatifs dans les délais il sera appliqué la pénalité prévue pour le retard à la transmission de documents.</w:t>
      </w:r>
    </w:p>
    <w:p w14:paraId="46526782" w14:textId="77777777" w:rsidR="00C50CD4" w:rsidRPr="00FA7A61" w:rsidRDefault="00C50CD4" w:rsidP="00C50CD4">
      <w:pPr>
        <w:spacing w:after="120"/>
        <w:rPr>
          <w:rFonts w:ascii="Arial" w:hAnsi="Arial" w:cs="Arial"/>
        </w:rPr>
      </w:pPr>
    </w:p>
    <w:p w14:paraId="25F5B51A" w14:textId="77777777" w:rsidR="000015F3" w:rsidRPr="00FA7A61" w:rsidRDefault="000015F3" w:rsidP="00C50CD4">
      <w:pPr>
        <w:pStyle w:val="Titre2"/>
        <w:numPr>
          <w:ilvl w:val="1"/>
          <w:numId w:val="6"/>
        </w:numPr>
        <w:tabs>
          <w:tab w:val="clear" w:pos="9072"/>
        </w:tabs>
        <w:spacing w:before="0" w:line="276" w:lineRule="auto"/>
        <w:rPr>
          <w:rFonts w:cs="Arial"/>
          <w:szCs w:val="22"/>
        </w:rPr>
      </w:pPr>
      <w:bookmarkStart w:id="5" w:name="_Toc189937380"/>
      <w:r w:rsidRPr="00FA7A61">
        <w:rPr>
          <w:rFonts w:cs="Arial"/>
          <w:szCs w:val="22"/>
        </w:rPr>
        <w:t>Pénalités administratives</w:t>
      </w:r>
      <w:bookmarkEnd w:id="5"/>
    </w:p>
    <w:p w14:paraId="5E317AF7" w14:textId="77777777" w:rsidR="000015F3" w:rsidRPr="00FA7A61" w:rsidRDefault="000015F3" w:rsidP="00C50CD4">
      <w:pPr>
        <w:pBdr>
          <w:top w:val="single" w:sz="4" w:space="1" w:color="auto"/>
          <w:left w:val="single" w:sz="4" w:space="4" w:color="auto"/>
          <w:bottom w:val="single" w:sz="4" w:space="1" w:color="auto"/>
          <w:right w:val="single" w:sz="4" w:space="4" w:color="auto"/>
        </w:pBdr>
        <w:spacing w:after="120"/>
        <w:rPr>
          <w:rFonts w:ascii="Arial" w:hAnsi="Arial" w:cs="Arial"/>
        </w:rPr>
      </w:pPr>
      <w:r w:rsidRPr="00FA7A61">
        <w:rPr>
          <w:rFonts w:ascii="Arial" w:hAnsi="Arial" w:cs="Arial"/>
        </w:rPr>
        <w:t xml:space="preserve">Pénalités pour retard dans la </w:t>
      </w:r>
      <w:r w:rsidRPr="00FA7A61">
        <w:rPr>
          <w:rFonts w:ascii="Arial" w:hAnsi="Arial" w:cs="Arial"/>
          <w:b/>
          <w:bCs/>
        </w:rPr>
        <w:t>production des documents de la déclaration relative à la lutte contre le travail dissimulé</w:t>
      </w:r>
      <w:r w:rsidRPr="00FA7A61">
        <w:rPr>
          <w:rFonts w:ascii="Arial" w:hAnsi="Arial" w:cs="Arial"/>
        </w:rPr>
        <w:t>, dans la production d’attestation d’assurance ou de la non-information d’un changement de situation :</w:t>
      </w:r>
    </w:p>
    <w:p w14:paraId="2B472B60" w14:textId="77777777" w:rsidR="000015F3" w:rsidRPr="00FA7A61" w:rsidRDefault="000015F3" w:rsidP="00C50CD4">
      <w:pPr>
        <w:pStyle w:val="Paragraphedeliste"/>
        <w:numPr>
          <w:ilvl w:val="0"/>
          <w:numId w:val="22"/>
        </w:numPr>
        <w:spacing w:after="120"/>
        <w:rPr>
          <w:rFonts w:ascii="Arial" w:hAnsi="Arial" w:cs="Arial"/>
        </w:rPr>
      </w:pPr>
      <w:r w:rsidRPr="00FA7A61">
        <w:rPr>
          <w:rFonts w:ascii="Arial" w:hAnsi="Arial" w:cs="Arial"/>
        </w:rPr>
        <w:t>500 € HT pour chaque infraction constatée, puis 100€ HT par jour à partir du premier jour ouvrable au lendemain du constat et jusqu’à résolution parfaite.</w:t>
      </w:r>
    </w:p>
    <w:p w14:paraId="6457CCF4" w14:textId="77777777" w:rsidR="000015F3" w:rsidRPr="00FA7A61" w:rsidRDefault="000015F3" w:rsidP="00C50CD4">
      <w:pPr>
        <w:pBdr>
          <w:top w:val="single" w:sz="4" w:space="1" w:color="auto"/>
          <w:left w:val="single" w:sz="4" w:space="4" w:color="auto"/>
          <w:bottom w:val="single" w:sz="4" w:space="1" w:color="auto"/>
          <w:right w:val="single" w:sz="4" w:space="4" w:color="auto"/>
        </w:pBdr>
        <w:spacing w:after="120"/>
        <w:rPr>
          <w:rFonts w:ascii="Arial" w:hAnsi="Arial" w:cs="Arial"/>
        </w:rPr>
      </w:pPr>
      <w:r w:rsidRPr="00FA7A61">
        <w:rPr>
          <w:rFonts w:ascii="Arial" w:hAnsi="Arial" w:cs="Arial"/>
        </w:rPr>
        <w:t xml:space="preserve">Pénalités pour </w:t>
      </w:r>
      <w:r w:rsidRPr="00FA7A61">
        <w:rPr>
          <w:rFonts w:ascii="Arial" w:hAnsi="Arial" w:cs="Arial"/>
          <w:b/>
          <w:bCs/>
        </w:rPr>
        <w:t>retard à la transmission de tous les documents liés à l’intervention d’un sous-traitant</w:t>
      </w:r>
      <w:r w:rsidRPr="00FA7A61">
        <w:rPr>
          <w:rFonts w:ascii="Arial" w:hAnsi="Arial" w:cs="Arial"/>
        </w:rPr>
        <w:t xml:space="preserve"> en vue de l’obtention de l’agrément (au plus tard 15 jours calendaires avant l’intervention) :</w:t>
      </w:r>
    </w:p>
    <w:p w14:paraId="175E86A2" w14:textId="77777777" w:rsidR="000015F3" w:rsidRPr="00FA7A61" w:rsidRDefault="000015F3" w:rsidP="00C50CD4">
      <w:pPr>
        <w:pStyle w:val="Paragraphedeliste"/>
        <w:numPr>
          <w:ilvl w:val="0"/>
          <w:numId w:val="22"/>
        </w:numPr>
        <w:spacing w:after="120"/>
        <w:ind w:left="714" w:hanging="357"/>
        <w:contextualSpacing w:val="0"/>
        <w:rPr>
          <w:rFonts w:ascii="Arial" w:hAnsi="Arial" w:cs="Arial"/>
        </w:rPr>
      </w:pPr>
      <w:r w:rsidRPr="00FA7A61">
        <w:rPr>
          <w:rFonts w:ascii="Arial" w:hAnsi="Arial" w:cs="Arial"/>
        </w:rPr>
        <w:t>200 € HT pour chaque infraction constatée, puis 100€ HT par jour à partir du premier jour ouvrable au lendemain du constat et jusqu’à résolution parfaite.</w:t>
      </w:r>
    </w:p>
    <w:p w14:paraId="205FAE19" w14:textId="77777777" w:rsidR="000015F3" w:rsidRPr="00FA7A61" w:rsidRDefault="000015F3" w:rsidP="00C50CD4">
      <w:pPr>
        <w:pBdr>
          <w:top w:val="single" w:sz="4" w:space="1" w:color="auto"/>
          <w:left w:val="single" w:sz="4" w:space="4" w:color="auto"/>
          <w:bottom w:val="single" w:sz="4" w:space="1" w:color="auto"/>
          <w:right w:val="single" w:sz="4" w:space="4" w:color="auto"/>
        </w:pBdr>
        <w:spacing w:after="120"/>
        <w:rPr>
          <w:rFonts w:ascii="Arial" w:hAnsi="Arial" w:cs="Arial"/>
        </w:rPr>
      </w:pPr>
      <w:r w:rsidRPr="00FA7A61">
        <w:rPr>
          <w:rFonts w:ascii="Arial" w:hAnsi="Arial" w:cs="Arial"/>
        </w:rPr>
        <w:t xml:space="preserve">Pénalités pour </w:t>
      </w:r>
      <w:r w:rsidRPr="00FA7A61">
        <w:rPr>
          <w:rFonts w:ascii="Arial" w:hAnsi="Arial" w:cs="Arial"/>
          <w:b/>
          <w:bCs/>
        </w:rPr>
        <w:t>non-respect des engagements unilatéraux pris par le Titulaire dans son mémoire technique</w:t>
      </w:r>
      <w:r w:rsidRPr="00FA7A61">
        <w:rPr>
          <w:rFonts w:ascii="Arial" w:hAnsi="Arial" w:cs="Arial"/>
        </w:rPr>
        <w:t xml:space="preserve"> (méthodologie, gestion du chantier) :</w:t>
      </w:r>
    </w:p>
    <w:p w14:paraId="11A6C63C" w14:textId="77777777" w:rsidR="000015F3" w:rsidRPr="00FA7A61" w:rsidRDefault="000015F3" w:rsidP="00C50CD4">
      <w:pPr>
        <w:pStyle w:val="Paragraphedeliste"/>
        <w:numPr>
          <w:ilvl w:val="0"/>
          <w:numId w:val="22"/>
        </w:numPr>
        <w:spacing w:after="120"/>
        <w:ind w:left="714" w:hanging="357"/>
        <w:contextualSpacing w:val="0"/>
        <w:rPr>
          <w:rFonts w:ascii="Arial" w:hAnsi="Arial" w:cs="Arial"/>
        </w:rPr>
      </w:pPr>
      <w:r w:rsidRPr="00FA7A61">
        <w:rPr>
          <w:rFonts w:ascii="Arial" w:hAnsi="Arial" w:cs="Arial"/>
        </w:rPr>
        <w:t>300 € HT pour chaque infraction constatée.</w:t>
      </w:r>
    </w:p>
    <w:p w14:paraId="5EBD44DA" w14:textId="77777777" w:rsidR="000015F3" w:rsidRPr="00FA7A61" w:rsidRDefault="000015F3" w:rsidP="00C50CD4">
      <w:pPr>
        <w:spacing w:after="120"/>
        <w:rPr>
          <w:rFonts w:ascii="Arial" w:hAnsi="Arial" w:cs="Arial"/>
        </w:rPr>
      </w:pPr>
    </w:p>
    <w:p w14:paraId="561D4BD7" w14:textId="0E3B7441" w:rsidR="00B274C8" w:rsidRPr="00FA7A61" w:rsidRDefault="0098762D" w:rsidP="00C50CD4">
      <w:pPr>
        <w:pStyle w:val="Titre3"/>
        <w:numPr>
          <w:ilvl w:val="0"/>
          <w:numId w:val="8"/>
        </w:numPr>
        <w:tabs>
          <w:tab w:val="clear" w:pos="9072"/>
        </w:tabs>
        <w:spacing w:before="0" w:after="120" w:line="240" w:lineRule="auto"/>
        <w:rPr>
          <w:rFonts w:cs="Arial"/>
          <w:sz w:val="22"/>
          <w:szCs w:val="22"/>
        </w:rPr>
      </w:pPr>
      <w:r>
        <w:rPr>
          <w:rFonts w:cs="Arial"/>
          <w:sz w:val="22"/>
          <w:szCs w:val="22"/>
        </w:rPr>
        <w:t xml:space="preserve">Article 16 du CCAP Assurances </w:t>
      </w:r>
    </w:p>
    <w:p w14:paraId="6391AD90" w14:textId="77777777" w:rsidR="0098762D" w:rsidRDefault="0098762D" w:rsidP="00C50CD4">
      <w:pPr>
        <w:spacing w:after="120"/>
        <w:rPr>
          <w:rFonts w:ascii="Arial" w:hAnsi="Arial" w:cs="Arial"/>
        </w:rPr>
      </w:pPr>
    </w:p>
    <w:p w14:paraId="60756FAA" w14:textId="33977160" w:rsidR="0098762D" w:rsidRDefault="0098762D" w:rsidP="00C50CD4">
      <w:pPr>
        <w:spacing w:after="120"/>
        <w:rPr>
          <w:rFonts w:ascii="Arial" w:hAnsi="Arial" w:cs="Arial"/>
        </w:rPr>
      </w:pPr>
      <w:r w:rsidRPr="0098762D">
        <w:rPr>
          <w:rFonts w:ascii="Arial" w:hAnsi="Arial" w:cs="Arial"/>
          <w:b/>
        </w:rPr>
        <w:t>Par dérogation à l’article 8 du CCAG-travaux</w:t>
      </w:r>
      <w:r w:rsidRPr="0098762D">
        <w:rPr>
          <w:rFonts w:ascii="Arial" w:hAnsi="Arial" w:cs="Arial"/>
        </w:rPr>
        <w:t>, le titulaire est tenu d’adresser à l’Université, avant le début d’exécution du marché, un exemplaire de sa police d’assurance au titre de sa responsabilité civile ainsi qu’au titre de sa responsabilité professionnelle.</w:t>
      </w:r>
    </w:p>
    <w:p w14:paraId="6C829F78" w14:textId="77777777" w:rsidR="0098762D" w:rsidRDefault="0098762D" w:rsidP="00C50CD4">
      <w:pPr>
        <w:spacing w:after="120"/>
        <w:rPr>
          <w:rFonts w:ascii="Arial" w:hAnsi="Arial" w:cs="Arial"/>
        </w:rPr>
      </w:pPr>
    </w:p>
    <w:p w14:paraId="5166EC71" w14:textId="77777777" w:rsidR="0098762D" w:rsidRDefault="0098762D" w:rsidP="00C50CD4">
      <w:pPr>
        <w:spacing w:after="120"/>
        <w:rPr>
          <w:rFonts w:ascii="Arial" w:hAnsi="Arial" w:cs="Arial"/>
        </w:rPr>
      </w:pPr>
    </w:p>
    <w:p w14:paraId="76D08457" w14:textId="6A2CBD4C" w:rsidR="000015F3" w:rsidRPr="00FA7A61" w:rsidRDefault="000015F3" w:rsidP="00C50CD4">
      <w:pPr>
        <w:spacing w:after="120"/>
        <w:rPr>
          <w:rFonts w:ascii="Arial" w:hAnsi="Arial" w:cs="Arial"/>
        </w:rPr>
      </w:pPr>
      <w:r w:rsidRPr="00FA7A61">
        <w:rPr>
          <w:rFonts w:ascii="Arial" w:hAnsi="Arial" w:cs="Arial"/>
        </w:rPr>
        <w:t xml:space="preserve">Par dérogation à </w:t>
      </w:r>
      <w:r w:rsidRPr="00FA7A61">
        <w:rPr>
          <w:rFonts w:ascii="Arial" w:hAnsi="Arial" w:cs="Arial"/>
          <w:b/>
          <w:color w:val="FF0000"/>
        </w:rPr>
        <w:t>l’article 23.2</w:t>
      </w:r>
      <w:r w:rsidRPr="00FA7A61">
        <w:rPr>
          <w:rFonts w:ascii="Arial" w:hAnsi="Arial" w:cs="Arial"/>
        </w:rPr>
        <w:t xml:space="preserve"> du CCAG-Travaux, le Maître d’œuvre dispose d’un délai de 10 jours calendaires pour accepter ou refuser un produit proposé, sauf indication contraire portée au calendrier détaillé d’exécution validé par le Maître d’œuvre. </w:t>
      </w:r>
    </w:p>
    <w:p w14:paraId="055F9FC4" w14:textId="2853858F" w:rsidR="003509B5" w:rsidRPr="00FA7A61" w:rsidRDefault="003509B5" w:rsidP="00C50CD4">
      <w:pPr>
        <w:spacing w:after="120"/>
        <w:rPr>
          <w:rFonts w:ascii="Arial" w:hAnsi="Arial" w:cs="Arial"/>
        </w:rPr>
      </w:pPr>
    </w:p>
    <w:p w14:paraId="75DB97FA" w14:textId="22503276" w:rsidR="004C0679" w:rsidRPr="00FA7A61" w:rsidRDefault="004C0679" w:rsidP="004C0679">
      <w:pPr>
        <w:pStyle w:val="Titre3"/>
        <w:numPr>
          <w:ilvl w:val="0"/>
          <w:numId w:val="8"/>
        </w:numPr>
        <w:tabs>
          <w:tab w:val="clear" w:pos="9072"/>
        </w:tabs>
        <w:spacing w:before="0" w:after="120" w:line="240" w:lineRule="auto"/>
        <w:rPr>
          <w:rFonts w:cs="Arial"/>
          <w:sz w:val="22"/>
          <w:szCs w:val="22"/>
        </w:rPr>
      </w:pPr>
      <w:r w:rsidRPr="00FA7A61">
        <w:rPr>
          <w:rFonts w:cs="Arial"/>
          <w:sz w:val="22"/>
          <w:szCs w:val="22"/>
        </w:rPr>
        <w:t>Dérogation article 27.4</w:t>
      </w:r>
    </w:p>
    <w:p w14:paraId="04624FB4" w14:textId="53A13A67" w:rsidR="004C0679" w:rsidRPr="00FA7A61" w:rsidRDefault="004C0679" w:rsidP="004C0679">
      <w:pPr>
        <w:spacing w:after="120"/>
        <w:rPr>
          <w:rFonts w:ascii="Arial" w:hAnsi="Arial" w:cs="Arial"/>
        </w:rPr>
      </w:pPr>
      <w:r w:rsidRPr="00FA7A61">
        <w:rPr>
          <w:rFonts w:ascii="Arial" w:hAnsi="Arial" w:cs="Arial"/>
        </w:rPr>
        <w:t xml:space="preserve">Par dérogation à l’article </w:t>
      </w:r>
      <w:r w:rsidRPr="00FA7A61">
        <w:rPr>
          <w:rFonts w:ascii="Arial" w:hAnsi="Arial" w:cs="Arial"/>
          <w:b/>
          <w:color w:val="FF0000"/>
        </w:rPr>
        <w:t>27.4 du CCAG-Travaux</w:t>
      </w:r>
      <w:r w:rsidRPr="00FA7A61">
        <w:rPr>
          <w:rFonts w:ascii="Arial" w:hAnsi="Arial" w:cs="Arial"/>
        </w:rPr>
        <w:t>, le piquetage, la DICT et le repérage des réseaux est à la charge des entreprises. En cas de travaux à plusieurs lots, le maître d’œuvre désignera dans le descriptif l’entreprise responsable de ces démarches.</w:t>
      </w:r>
    </w:p>
    <w:p w14:paraId="50A1DB0F" w14:textId="77777777" w:rsidR="004C0679" w:rsidRPr="00FA7A61" w:rsidRDefault="004C0679" w:rsidP="00C50CD4">
      <w:pPr>
        <w:spacing w:after="120"/>
        <w:rPr>
          <w:rFonts w:ascii="Arial" w:hAnsi="Arial" w:cs="Arial"/>
        </w:rPr>
      </w:pPr>
    </w:p>
    <w:p w14:paraId="66290579" w14:textId="082F413B" w:rsidR="00B274C8" w:rsidRPr="00FA7A61" w:rsidRDefault="00B274C8" w:rsidP="00C50CD4">
      <w:pPr>
        <w:pStyle w:val="Titre3"/>
        <w:numPr>
          <w:ilvl w:val="0"/>
          <w:numId w:val="8"/>
        </w:numPr>
        <w:tabs>
          <w:tab w:val="clear" w:pos="9072"/>
        </w:tabs>
        <w:spacing w:before="0" w:after="120" w:line="240" w:lineRule="auto"/>
        <w:rPr>
          <w:rFonts w:cs="Arial"/>
          <w:sz w:val="22"/>
          <w:szCs w:val="22"/>
        </w:rPr>
      </w:pPr>
      <w:r w:rsidRPr="00FA7A61">
        <w:rPr>
          <w:rFonts w:cs="Arial"/>
          <w:sz w:val="22"/>
          <w:szCs w:val="22"/>
        </w:rPr>
        <w:t>Dérogation article 28.1</w:t>
      </w:r>
    </w:p>
    <w:p w14:paraId="40A02920" w14:textId="57F05E3F" w:rsidR="003509B5" w:rsidRPr="00FA7A61" w:rsidRDefault="00392563" w:rsidP="00C50CD4">
      <w:pPr>
        <w:spacing w:after="120"/>
        <w:rPr>
          <w:rFonts w:ascii="Arial" w:hAnsi="Arial" w:cs="Arial"/>
        </w:rPr>
      </w:pPr>
      <w:r w:rsidRPr="00FA7A61">
        <w:rPr>
          <w:rFonts w:ascii="Arial" w:hAnsi="Arial" w:cs="Arial"/>
        </w:rPr>
        <w:t>P</w:t>
      </w:r>
      <w:r w:rsidR="003509B5" w:rsidRPr="00FA7A61">
        <w:rPr>
          <w:rFonts w:ascii="Arial" w:hAnsi="Arial" w:cs="Arial"/>
        </w:rPr>
        <w:t xml:space="preserve">ar dérogation au </w:t>
      </w:r>
      <w:r w:rsidR="003509B5" w:rsidRPr="00FA7A61">
        <w:rPr>
          <w:rFonts w:ascii="Arial" w:hAnsi="Arial" w:cs="Arial"/>
          <w:b/>
          <w:color w:val="FF0000"/>
        </w:rPr>
        <w:t xml:space="preserve">28.1 </w:t>
      </w:r>
      <w:r w:rsidR="003509B5" w:rsidRPr="00FA7A61">
        <w:rPr>
          <w:rFonts w:ascii="Arial" w:hAnsi="Arial" w:cs="Arial"/>
        </w:rPr>
        <w:t xml:space="preserve">du CCAG-Travaux, la durée de la période de préparation </w:t>
      </w:r>
      <w:r w:rsidRPr="00FA7A61">
        <w:rPr>
          <w:rFonts w:ascii="Arial" w:hAnsi="Arial" w:cs="Arial"/>
        </w:rPr>
        <w:t xml:space="preserve">pour les </w:t>
      </w:r>
      <w:r w:rsidR="003509B5" w:rsidRPr="00FA7A61">
        <w:rPr>
          <w:rFonts w:ascii="Arial" w:hAnsi="Arial" w:cs="Arial"/>
        </w:rPr>
        <w:t>est de 01 mois</w:t>
      </w:r>
      <w:r w:rsidRPr="00FA7A61">
        <w:rPr>
          <w:rFonts w:ascii="Arial" w:hAnsi="Arial" w:cs="Arial"/>
        </w:rPr>
        <w:t>, sauf dispositions exceptionnelles</w:t>
      </w:r>
      <w:r w:rsidR="003509B5" w:rsidRPr="00FA7A61">
        <w:rPr>
          <w:rFonts w:ascii="Arial" w:hAnsi="Arial" w:cs="Arial"/>
        </w:rPr>
        <w:t xml:space="preserve">. </w:t>
      </w:r>
      <w:r w:rsidRPr="00FA7A61">
        <w:rPr>
          <w:rFonts w:ascii="Arial" w:hAnsi="Arial" w:cs="Arial"/>
        </w:rPr>
        <w:t>Pour les marchés subséquents, elle sera matérialisée par l’envoi d’un OS de démarrage.</w:t>
      </w:r>
    </w:p>
    <w:p w14:paraId="5B567E06" w14:textId="7182B848" w:rsidR="003509B5" w:rsidRPr="00FA7A61" w:rsidRDefault="003509B5" w:rsidP="00C50CD4">
      <w:pPr>
        <w:spacing w:after="120"/>
        <w:rPr>
          <w:rFonts w:ascii="Arial" w:hAnsi="Arial" w:cs="Arial"/>
        </w:rPr>
      </w:pPr>
    </w:p>
    <w:p w14:paraId="58FAF724" w14:textId="6EF973E8" w:rsidR="00392563" w:rsidRPr="00FA7A61" w:rsidRDefault="00392563" w:rsidP="00392563">
      <w:pPr>
        <w:pStyle w:val="Titre3"/>
        <w:numPr>
          <w:ilvl w:val="0"/>
          <w:numId w:val="8"/>
        </w:numPr>
        <w:tabs>
          <w:tab w:val="clear" w:pos="9072"/>
        </w:tabs>
        <w:spacing w:before="0" w:after="120" w:line="240" w:lineRule="auto"/>
        <w:rPr>
          <w:rFonts w:cs="Arial"/>
          <w:sz w:val="22"/>
          <w:szCs w:val="22"/>
        </w:rPr>
      </w:pPr>
      <w:r w:rsidRPr="00FA7A61">
        <w:rPr>
          <w:rFonts w:cs="Arial"/>
          <w:sz w:val="22"/>
          <w:szCs w:val="22"/>
        </w:rPr>
        <w:lastRenderedPageBreak/>
        <w:t>Dérogation article 34 et 36</w:t>
      </w:r>
    </w:p>
    <w:p w14:paraId="3EE49925" w14:textId="3389FB63" w:rsidR="00291A3B" w:rsidRPr="00FA7A61" w:rsidRDefault="00392563" w:rsidP="00392563">
      <w:pPr>
        <w:spacing w:after="120"/>
        <w:rPr>
          <w:rFonts w:ascii="Arial" w:hAnsi="Arial" w:cs="Arial"/>
        </w:rPr>
      </w:pPr>
      <w:r w:rsidRPr="00FA7A61">
        <w:rPr>
          <w:rFonts w:ascii="Arial" w:hAnsi="Arial" w:cs="Arial"/>
        </w:rPr>
        <w:t>Les articles 34 et 36 sont complétés par la charte chantier. Les pénalités sont inscrites à l’article de dérogation 19.1</w:t>
      </w:r>
    </w:p>
    <w:p w14:paraId="23374890" w14:textId="1AE78A2A" w:rsidR="00392563" w:rsidRPr="00FA7A61" w:rsidRDefault="00392563" w:rsidP="00392563">
      <w:pPr>
        <w:spacing w:after="120"/>
        <w:rPr>
          <w:rFonts w:ascii="Arial" w:hAnsi="Arial" w:cs="Arial"/>
        </w:rPr>
      </w:pPr>
    </w:p>
    <w:p w14:paraId="6EA272FC" w14:textId="07EE6825" w:rsidR="00392563" w:rsidRPr="00FA7A61" w:rsidRDefault="00392563" w:rsidP="00392563">
      <w:pPr>
        <w:pStyle w:val="Titre3"/>
        <w:numPr>
          <w:ilvl w:val="0"/>
          <w:numId w:val="8"/>
        </w:numPr>
        <w:tabs>
          <w:tab w:val="clear" w:pos="9072"/>
        </w:tabs>
        <w:spacing w:before="0" w:after="120" w:line="240" w:lineRule="auto"/>
        <w:rPr>
          <w:rFonts w:cs="Arial"/>
          <w:sz w:val="22"/>
          <w:szCs w:val="22"/>
        </w:rPr>
      </w:pPr>
      <w:r w:rsidRPr="00FA7A61">
        <w:rPr>
          <w:rFonts w:cs="Arial"/>
          <w:sz w:val="22"/>
          <w:szCs w:val="22"/>
        </w:rPr>
        <w:t>Dérogation article 40</w:t>
      </w:r>
    </w:p>
    <w:p w14:paraId="69221552" w14:textId="28C7FE1C" w:rsidR="00392563" w:rsidRPr="00FA7A61" w:rsidRDefault="00392563" w:rsidP="00392563">
      <w:pPr>
        <w:spacing w:after="120"/>
        <w:rPr>
          <w:rFonts w:ascii="Arial" w:hAnsi="Arial" w:cs="Arial"/>
        </w:rPr>
      </w:pPr>
      <w:r w:rsidRPr="00FA7A61">
        <w:rPr>
          <w:rFonts w:ascii="Arial" w:hAnsi="Arial" w:cs="Arial"/>
        </w:rPr>
        <w:t>L’article 40 est complété par la charte chantier. Les pénalités sont inscrites à l’article de dérogation 19.1.</w:t>
      </w:r>
    </w:p>
    <w:p w14:paraId="1B6C305F" w14:textId="0D1A4119" w:rsidR="00392563" w:rsidRPr="00FA7A61" w:rsidRDefault="00392563" w:rsidP="00392563">
      <w:pPr>
        <w:spacing w:after="120"/>
        <w:rPr>
          <w:rFonts w:ascii="Arial" w:hAnsi="Arial" w:cs="Arial"/>
        </w:rPr>
      </w:pPr>
      <w:r w:rsidRPr="00FA7A61">
        <w:rPr>
          <w:rFonts w:ascii="Arial" w:hAnsi="Arial" w:cs="Arial"/>
        </w:rPr>
        <w:t xml:space="preserve">En complément de l’article 40, les travaux seront considérés comme non achevé si les DOE et DIUO n’ont pas été transmis au maitre d’œuvre et au maitre d’ouvrage. </w:t>
      </w:r>
    </w:p>
    <w:p w14:paraId="4340145A" w14:textId="0C59AA59" w:rsidR="00EF4F6F" w:rsidRPr="00FA7A61" w:rsidRDefault="00EF4F6F" w:rsidP="00392563">
      <w:pPr>
        <w:spacing w:after="120"/>
        <w:rPr>
          <w:rFonts w:ascii="Arial" w:hAnsi="Arial" w:cs="Arial"/>
        </w:rPr>
      </w:pPr>
    </w:p>
    <w:p w14:paraId="26DA1A68" w14:textId="31FAF3ED" w:rsidR="00EF4F6F" w:rsidRPr="00FA7A61" w:rsidRDefault="00EF4F6F" w:rsidP="00EF4F6F">
      <w:pPr>
        <w:pStyle w:val="Titre3"/>
        <w:numPr>
          <w:ilvl w:val="0"/>
          <w:numId w:val="8"/>
        </w:numPr>
        <w:tabs>
          <w:tab w:val="clear" w:pos="9072"/>
        </w:tabs>
        <w:spacing w:before="0" w:after="120" w:line="240" w:lineRule="auto"/>
        <w:rPr>
          <w:rFonts w:cs="Arial"/>
          <w:sz w:val="22"/>
          <w:szCs w:val="22"/>
        </w:rPr>
      </w:pPr>
      <w:r w:rsidRPr="00FA7A61">
        <w:rPr>
          <w:rFonts w:cs="Arial"/>
          <w:sz w:val="22"/>
          <w:szCs w:val="22"/>
        </w:rPr>
        <w:t>Dérogation article 44</w:t>
      </w:r>
    </w:p>
    <w:p w14:paraId="514AE074" w14:textId="15CDFCB5" w:rsidR="00EF4F6F" w:rsidRPr="00FA7A61" w:rsidRDefault="00EF4F6F" w:rsidP="00EF4F6F">
      <w:pPr>
        <w:spacing w:after="120"/>
        <w:rPr>
          <w:rFonts w:ascii="Arial" w:hAnsi="Arial" w:cs="Arial"/>
        </w:rPr>
      </w:pPr>
      <w:r w:rsidRPr="00FA7A61">
        <w:rPr>
          <w:rFonts w:ascii="Arial" w:hAnsi="Arial" w:cs="Arial"/>
        </w:rPr>
        <w:t>Par dérogation à l’article 44.2 du CCAG-Travaux, si à l’expiration du délai de garantie, le Titulaire n’a pas procédé à l’exécution des travaux et prestations énoncés à l’article 44 1 du CCAG-Travaux ainsi qu’à l’exécution de ceux exigés, le cas échéant, à l’article 39 du CCAG-Travaux, le délai de garantie est automatiquement prolongé jusqu’à l’exécution complète des travaux et prestations, que celle-ci soit assurée par le Titulaire ou qu’elle le soit d’office conformément aux stipulations de l’article 41.6 du CCAG-Travaux.</w:t>
      </w:r>
    </w:p>
    <w:p w14:paraId="3FAC3C88" w14:textId="0F9EDAB2" w:rsidR="00392563" w:rsidRPr="00FA7A61" w:rsidRDefault="00392563" w:rsidP="00392563">
      <w:pPr>
        <w:spacing w:after="120"/>
        <w:rPr>
          <w:rFonts w:ascii="Arial" w:hAnsi="Arial" w:cs="Arial"/>
        </w:rPr>
      </w:pPr>
    </w:p>
    <w:tbl>
      <w:tblPr>
        <w:tblpPr w:leftFromText="141" w:rightFromText="141"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4678"/>
      </w:tblGrid>
      <w:tr w:rsidR="0098762D" w:rsidRPr="0098762D" w14:paraId="77418A55" w14:textId="77777777" w:rsidTr="006B121C">
        <w:trPr>
          <w:trHeight w:val="311"/>
        </w:trPr>
        <w:tc>
          <w:tcPr>
            <w:tcW w:w="2972" w:type="dxa"/>
            <w:shd w:val="clear" w:color="auto" w:fill="C00000"/>
          </w:tcPr>
          <w:p w14:paraId="6EEFAFB2" w14:textId="77777777" w:rsidR="0098762D" w:rsidRPr="0098762D" w:rsidRDefault="0098762D" w:rsidP="0098762D">
            <w:pPr>
              <w:spacing w:after="160" w:line="259" w:lineRule="auto"/>
              <w:rPr>
                <w:rFonts w:ascii="Arial" w:eastAsiaTheme="minorHAnsi" w:hAnsi="Arial"/>
                <w:b/>
              </w:rPr>
            </w:pPr>
            <w:r w:rsidRPr="0098762D">
              <w:rPr>
                <w:rFonts w:ascii="Arial" w:eastAsiaTheme="minorHAnsi" w:hAnsi="Arial"/>
                <w:b/>
              </w:rPr>
              <w:t>Articles du présent CCAP</w:t>
            </w:r>
          </w:p>
        </w:tc>
        <w:tc>
          <w:tcPr>
            <w:tcW w:w="4678" w:type="dxa"/>
            <w:shd w:val="clear" w:color="auto" w:fill="C00000"/>
          </w:tcPr>
          <w:p w14:paraId="7C342377" w14:textId="77777777" w:rsidR="0098762D" w:rsidRPr="0098762D" w:rsidRDefault="0098762D" w:rsidP="0098762D">
            <w:pPr>
              <w:spacing w:after="160" w:line="259" w:lineRule="auto"/>
              <w:rPr>
                <w:rFonts w:ascii="Arial" w:eastAsiaTheme="minorHAnsi" w:hAnsi="Arial"/>
                <w:b/>
              </w:rPr>
            </w:pPr>
            <w:r w:rsidRPr="0098762D">
              <w:rPr>
                <w:rFonts w:ascii="Arial" w:eastAsiaTheme="minorHAnsi" w:hAnsi="Arial"/>
                <w:b/>
              </w:rPr>
              <w:t>Articles du CCAG auxquels ils dérogent</w:t>
            </w:r>
          </w:p>
        </w:tc>
      </w:tr>
      <w:tr w:rsidR="0098762D" w:rsidRPr="0098762D" w14:paraId="659935DA" w14:textId="77777777" w:rsidTr="006B121C">
        <w:tc>
          <w:tcPr>
            <w:tcW w:w="2972" w:type="dxa"/>
            <w:shd w:val="clear" w:color="auto" w:fill="auto"/>
          </w:tcPr>
          <w:p w14:paraId="2864D3B2"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3.1</w:t>
            </w:r>
          </w:p>
        </w:tc>
        <w:tc>
          <w:tcPr>
            <w:tcW w:w="4678" w:type="dxa"/>
            <w:shd w:val="clear" w:color="auto" w:fill="auto"/>
            <w:vAlign w:val="center"/>
          </w:tcPr>
          <w:p w14:paraId="3F1A0E09"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4.1</w:t>
            </w:r>
          </w:p>
        </w:tc>
      </w:tr>
      <w:tr w:rsidR="0098762D" w:rsidRPr="0098762D" w14:paraId="55C10509" w14:textId="77777777" w:rsidTr="006B121C">
        <w:tc>
          <w:tcPr>
            <w:tcW w:w="2972" w:type="dxa"/>
            <w:shd w:val="clear" w:color="auto" w:fill="auto"/>
          </w:tcPr>
          <w:p w14:paraId="41B3CA15"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6.1</w:t>
            </w:r>
          </w:p>
        </w:tc>
        <w:tc>
          <w:tcPr>
            <w:tcW w:w="4678" w:type="dxa"/>
            <w:shd w:val="clear" w:color="auto" w:fill="auto"/>
            <w:vAlign w:val="center"/>
          </w:tcPr>
          <w:p w14:paraId="295C51F6"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20.2</w:t>
            </w:r>
          </w:p>
        </w:tc>
      </w:tr>
      <w:tr w:rsidR="0098762D" w:rsidRPr="0098762D" w14:paraId="5EE90448" w14:textId="77777777" w:rsidTr="006B121C">
        <w:tc>
          <w:tcPr>
            <w:tcW w:w="2972" w:type="dxa"/>
            <w:shd w:val="clear" w:color="auto" w:fill="auto"/>
          </w:tcPr>
          <w:p w14:paraId="68EB0CB9"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7.2.2</w:t>
            </w:r>
          </w:p>
        </w:tc>
        <w:tc>
          <w:tcPr>
            <w:tcW w:w="4678" w:type="dxa"/>
            <w:shd w:val="clear" w:color="auto" w:fill="auto"/>
            <w:vAlign w:val="center"/>
          </w:tcPr>
          <w:p w14:paraId="1C5408F9"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14</w:t>
            </w:r>
          </w:p>
        </w:tc>
      </w:tr>
      <w:tr w:rsidR="0098762D" w:rsidRPr="0098762D" w14:paraId="02EB612C" w14:textId="77777777" w:rsidTr="006B121C">
        <w:tc>
          <w:tcPr>
            <w:tcW w:w="2972" w:type="dxa"/>
            <w:shd w:val="clear" w:color="auto" w:fill="auto"/>
          </w:tcPr>
          <w:p w14:paraId="2C563777"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7.2.3</w:t>
            </w:r>
          </w:p>
        </w:tc>
        <w:tc>
          <w:tcPr>
            <w:tcW w:w="4678" w:type="dxa"/>
            <w:shd w:val="clear" w:color="auto" w:fill="auto"/>
            <w:vAlign w:val="center"/>
          </w:tcPr>
          <w:p w14:paraId="029AACFF"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13.5 et 3.8.2</w:t>
            </w:r>
          </w:p>
        </w:tc>
      </w:tr>
      <w:tr w:rsidR="0098762D" w:rsidRPr="0098762D" w14:paraId="7C397F12" w14:textId="77777777" w:rsidTr="006B121C">
        <w:tc>
          <w:tcPr>
            <w:tcW w:w="2972" w:type="dxa"/>
            <w:shd w:val="clear" w:color="auto" w:fill="auto"/>
          </w:tcPr>
          <w:p w14:paraId="1AFB80BF"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10.7.2</w:t>
            </w:r>
          </w:p>
        </w:tc>
        <w:tc>
          <w:tcPr>
            <w:tcW w:w="4678" w:type="dxa"/>
            <w:shd w:val="clear" w:color="auto" w:fill="auto"/>
            <w:vAlign w:val="center"/>
          </w:tcPr>
          <w:p w14:paraId="3D86ECDC"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11.4, 11.6 et 12.1.1</w:t>
            </w:r>
          </w:p>
        </w:tc>
      </w:tr>
      <w:tr w:rsidR="0098762D" w:rsidRPr="0098762D" w14:paraId="2F5EB069" w14:textId="77777777" w:rsidTr="006B121C">
        <w:tc>
          <w:tcPr>
            <w:tcW w:w="2972" w:type="dxa"/>
            <w:shd w:val="clear" w:color="auto" w:fill="auto"/>
          </w:tcPr>
          <w:p w14:paraId="44CCDCDC"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10.9.2</w:t>
            </w:r>
          </w:p>
        </w:tc>
        <w:tc>
          <w:tcPr>
            <w:tcW w:w="4678" w:type="dxa"/>
            <w:shd w:val="clear" w:color="auto" w:fill="auto"/>
            <w:vAlign w:val="center"/>
          </w:tcPr>
          <w:p w14:paraId="0241BF90"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41.1.2, 41.1.3, 41.3, 41.5, 41.6, 42.1</w:t>
            </w:r>
          </w:p>
        </w:tc>
      </w:tr>
      <w:tr w:rsidR="0098762D" w:rsidRPr="0098762D" w14:paraId="6FC0590C" w14:textId="77777777" w:rsidTr="006B121C">
        <w:tc>
          <w:tcPr>
            <w:tcW w:w="2972" w:type="dxa"/>
            <w:shd w:val="clear" w:color="auto" w:fill="auto"/>
          </w:tcPr>
          <w:p w14:paraId="5EA26F5B"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10.9.3</w:t>
            </w:r>
          </w:p>
        </w:tc>
        <w:tc>
          <w:tcPr>
            <w:tcW w:w="4678" w:type="dxa"/>
            <w:shd w:val="clear" w:color="auto" w:fill="auto"/>
            <w:vAlign w:val="center"/>
          </w:tcPr>
          <w:p w14:paraId="1896E448"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40.1</w:t>
            </w:r>
          </w:p>
        </w:tc>
      </w:tr>
      <w:tr w:rsidR="0098762D" w:rsidRPr="0098762D" w14:paraId="6BC147B5" w14:textId="77777777" w:rsidTr="006B121C">
        <w:tc>
          <w:tcPr>
            <w:tcW w:w="2972" w:type="dxa"/>
            <w:shd w:val="clear" w:color="auto" w:fill="auto"/>
          </w:tcPr>
          <w:p w14:paraId="412518B8"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12.1</w:t>
            </w:r>
          </w:p>
        </w:tc>
        <w:tc>
          <w:tcPr>
            <w:tcW w:w="4678" w:type="dxa"/>
            <w:shd w:val="clear" w:color="auto" w:fill="auto"/>
            <w:vAlign w:val="center"/>
          </w:tcPr>
          <w:p w14:paraId="47323252"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19.1, 19.2.1, 19.2.2, 19.2.4, 19.2.5 et 19.3</w:t>
            </w:r>
          </w:p>
        </w:tc>
      </w:tr>
      <w:tr w:rsidR="0098762D" w:rsidRPr="0098762D" w14:paraId="78C2A7AB" w14:textId="77777777" w:rsidTr="006B121C">
        <w:tc>
          <w:tcPr>
            <w:tcW w:w="2972" w:type="dxa"/>
            <w:shd w:val="clear" w:color="auto" w:fill="auto"/>
          </w:tcPr>
          <w:p w14:paraId="70E8D560"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12.2</w:t>
            </w:r>
          </w:p>
        </w:tc>
        <w:tc>
          <w:tcPr>
            <w:tcW w:w="4678" w:type="dxa"/>
            <w:shd w:val="clear" w:color="auto" w:fill="auto"/>
            <w:vAlign w:val="center"/>
          </w:tcPr>
          <w:p w14:paraId="2F4EAFFF"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19.3</w:t>
            </w:r>
          </w:p>
        </w:tc>
      </w:tr>
      <w:tr w:rsidR="0098762D" w:rsidRPr="0098762D" w14:paraId="6FF70814" w14:textId="77777777" w:rsidTr="006B121C">
        <w:tc>
          <w:tcPr>
            <w:tcW w:w="2972" w:type="dxa"/>
            <w:shd w:val="clear" w:color="auto" w:fill="auto"/>
          </w:tcPr>
          <w:p w14:paraId="5EA749C0"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12.3</w:t>
            </w:r>
          </w:p>
        </w:tc>
        <w:tc>
          <w:tcPr>
            <w:tcW w:w="4678" w:type="dxa"/>
            <w:shd w:val="clear" w:color="auto" w:fill="auto"/>
            <w:vAlign w:val="center"/>
          </w:tcPr>
          <w:p w14:paraId="52C523B0"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19.2.2 et 19.2.4</w:t>
            </w:r>
          </w:p>
        </w:tc>
      </w:tr>
      <w:tr w:rsidR="0098762D" w:rsidRPr="0098762D" w14:paraId="3BD8B67E" w14:textId="77777777" w:rsidTr="006B121C">
        <w:tc>
          <w:tcPr>
            <w:tcW w:w="2972" w:type="dxa"/>
            <w:shd w:val="clear" w:color="auto" w:fill="auto"/>
          </w:tcPr>
          <w:p w14:paraId="72FDCBBE"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13.3</w:t>
            </w:r>
          </w:p>
        </w:tc>
        <w:tc>
          <w:tcPr>
            <w:tcW w:w="4678" w:type="dxa"/>
            <w:shd w:val="clear" w:color="auto" w:fill="auto"/>
            <w:vAlign w:val="center"/>
          </w:tcPr>
          <w:p w14:paraId="0D7E2832"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44.2</w:t>
            </w:r>
          </w:p>
        </w:tc>
      </w:tr>
      <w:tr w:rsidR="0098762D" w:rsidRPr="0098762D" w14:paraId="7A17D349" w14:textId="77777777" w:rsidTr="006B121C">
        <w:tc>
          <w:tcPr>
            <w:tcW w:w="2972" w:type="dxa"/>
            <w:shd w:val="clear" w:color="auto" w:fill="auto"/>
          </w:tcPr>
          <w:p w14:paraId="03DDDFB0"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16</w:t>
            </w:r>
          </w:p>
        </w:tc>
        <w:tc>
          <w:tcPr>
            <w:tcW w:w="4678" w:type="dxa"/>
            <w:shd w:val="clear" w:color="auto" w:fill="auto"/>
            <w:vAlign w:val="center"/>
          </w:tcPr>
          <w:p w14:paraId="71DB033B" w14:textId="77777777" w:rsidR="0098762D" w:rsidRPr="0098762D" w:rsidRDefault="0098762D" w:rsidP="0098762D">
            <w:pPr>
              <w:spacing w:after="160" w:line="259" w:lineRule="auto"/>
              <w:rPr>
                <w:rFonts w:ascii="Arial" w:eastAsiaTheme="minorHAnsi" w:hAnsi="Arial"/>
              </w:rPr>
            </w:pPr>
            <w:r w:rsidRPr="0098762D">
              <w:rPr>
                <w:rFonts w:ascii="Arial" w:eastAsiaTheme="minorHAnsi" w:hAnsi="Arial"/>
              </w:rPr>
              <w:t>8</w:t>
            </w:r>
          </w:p>
        </w:tc>
      </w:tr>
    </w:tbl>
    <w:p w14:paraId="5C388DF1" w14:textId="77777777" w:rsidR="00EF4F6F" w:rsidRPr="00FA7A61" w:rsidRDefault="00EF4F6F" w:rsidP="00392563">
      <w:pPr>
        <w:spacing w:after="120"/>
        <w:rPr>
          <w:rFonts w:ascii="Arial" w:hAnsi="Arial" w:cs="Arial"/>
        </w:rPr>
      </w:pPr>
    </w:p>
    <w:sectPr w:rsidR="00EF4F6F" w:rsidRPr="00FA7A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77C5C"/>
    <w:multiLevelType w:val="hybridMultilevel"/>
    <w:tmpl w:val="6D8C0652"/>
    <w:lvl w:ilvl="0" w:tplc="17EAE1F8">
      <w:start w:val="5"/>
      <w:numFmt w:val="bullet"/>
      <w:lvlText w:val="-"/>
      <w:lvlJc w:val="left"/>
      <w:pPr>
        <w:ind w:left="720" w:hanging="360"/>
      </w:pPr>
      <w:rPr>
        <w:rFonts w:ascii="Cambria" w:eastAsia="Times New Roman"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026306"/>
    <w:multiLevelType w:val="multilevel"/>
    <w:tmpl w:val="9686FFDC"/>
    <w:lvl w:ilvl="0">
      <w:start w:val="1"/>
      <w:numFmt w:val="decimal"/>
      <w:lvlText w:val="%1."/>
      <w:lvlJc w:val="left"/>
      <w:pPr>
        <w:ind w:left="1274" w:hanging="708"/>
      </w:pPr>
      <w:rPr>
        <w:rFonts w:ascii="Calibri" w:eastAsia="Calibri" w:hAnsi="Calibri" w:cs="Calibri" w:hint="default"/>
        <w:b/>
        <w:bCs/>
        <w:i w:val="0"/>
        <w:iCs w:val="0"/>
        <w:color w:val="001F5F"/>
        <w:spacing w:val="-1"/>
        <w:w w:val="99"/>
        <w:sz w:val="20"/>
        <w:szCs w:val="20"/>
        <w:lang w:val="fr-FR" w:eastAsia="en-US" w:bidi="ar-SA"/>
      </w:rPr>
    </w:lvl>
    <w:lvl w:ilvl="1">
      <w:start w:val="1"/>
      <w:numFmt w:val="decimal"/>
      <w:lvlText w:val="%1.%2."/>
      <w:lvlJc w:val="left"/>
      <w:pPr>
        <w:ind w:left="1274" w:hanging="425"/>
      </w:pPr>
      <w:rPr>
        <w:rFonts w:ascii="Calibri" w:eastAsia="Calibri" w:hAnsi="Calibri" w:cs="Calibri" w:hint="default"/>
        <w:b/>
        <w:bCs/>
        <w:i w:val="0"/>
        <w:iCs w:val="0"/>
        <w:color w:val="1F487C"/>
        <w:spacing w:val="-1"/>
        <w:w w:val="99"/>
        <w:sz w:val="20"/>
        <w:szCs w:val="20"/>
        <w:lang w:val="fr-FR" w:eastAsia="en-US" w:bidi="ar-SA"/>
      </w:rPr>
    </w:lvl>
    <w:lvl w:ilvl="2">
      <w:start w:val="1"/>
      <w:numFmt w:val="decimal"/>
      <w:lvlText w:val="%1.%2.%3."/>
      <w:lvlJc w:val="left"/>
      <w:pPr>
        <w:ind w:left="2203" w:hanging="1071"/>
      </w:pPr>
      <w:rPr>
        <w:rFonts w:ascii="Arial" w:eastAsia="Calibri" w:hAnsi="Arial" w:cs="Arial" w:hint="default"/>
        <w:b/>
        <w:bCs/>
        <w:i w:val="0"/>
        <w:iCs/>
        <w:color w:val="767171" w:themeColor="background2" w:themeShade="80"/>
        <w:spacing w:val="-1"/>
        <w:w w:val="99"/>
        <w:sz w:val="20"/>
        <w:szCs w:val="20"/>
        <w:lang w:val="fr-FR" w:eastAsia="en-US" w:bidi="ar-SA"/>
      </w:rPr>
    </w:lvl>
    <w:lvl w:ilvl="3">
      <w:numFmt w:val="bullet"/>
      <w:pStyle w:val="Tirets"/>
      <w:lvlText w:val="-"/>
      <w:lvlJc w:val="left"/>
      <w:pPr>
        <w:ind w:left="1418" w:hanging="286"/>
      </w:pPr>
      <w:rPr>
        <w:rFonts w:ascii="Times New Roman" w:eastAsia="Times New Roman" w:hAnsi="Times New Roman" w:cs="Times New Roman" w:hint="default"/>
        <w:b w:val="0"/>
        <w:bCs w:val="0"/>
        <w:i w:val="0"/>
        <w:iCs w:val="0"/>
        <w:color w:val="001F5F"/>
        <w:spacing w:val="0"/>
        <w:w w:val="99"/>
        <w:sz w:val="20"/>
        <w:szCs w:val="20"/>
        <w:lang w:val="fr-FR" w:eastAsia="en-US" w:bidi="ar-SA"/>
      </w:rPr>
    </w:lvl>
    <w:lvl w:ilvl="4">
      <w:numFmt w:val="bullet"/>
      <w:lvlText w:val="•"/>
      <w:lvlJc w:val="left"/>
      <w:pPr>
        <w:ind w:left="4130" w:hanging="286"/>
      </w:pPr>
      <w:rPr>
        <w:rFonts w:hint="default"/>
        <w:lang w:val="fr-FR" w:eastAsia="en-US" w:bidi="ar-SA"/>
      </w:rPr>
    </w:lvl>
    <w:lvl w:ilvl="5">
      <w:numFmt w:val="bullet"/>
      <w:lvlText w:val="•"/>
      <w:lvlJc w:val="left"/>
      <w:pPr>
        <w:ind w:left="5096" w:hanging="286"/>
      </w:pPr>
      <w:rPr>
        <w:rFonts w:hint="default"/>
        <w:lang w:val="fr-FR" w:eastAsia="en-US" w:bidi="ar-SA"/>
      </w:rPr>
    </w:lvl>
    <w:lvl w:ilvl="6">
      <w:numFmt w:val="bullet"/>
      <w:lvlText w:val="•"/>
      <w:lvlJc w:val="left"/>
      <w:pPr>
        <w:ind w:left="6061" w:hanging="286"/>
      </w:pPr>
      <w:rPr>
        <w:rFonts w:hint="default"/>
        <w:lang w:val="fr-FR" w:eastAsia="en-US" w:bidi="ar-SA"/>
      </w:rPr>
    </w:lvl>
    <w:lvl w:ilvl="7">
      <w:numFmt w:val="bullet"/>
      <w:lvlText w:val="•"/>
      <w:lvlJc w:val="left"/>
      <w:pPr>
        <w:ind w:left="7027" w:hanging="286"/>
      </w:pPr>
      <w:rPr>
        <w:rFonts w:hint="default"/>
        <w:lang w:val="fr-FR" w:eastAsia="en-US" w:bidi="ar-SA"/>
      </w:rPr>
    </w:lvl>
    <w:lvl w:ilvl="8">
      <w:numFmt w:val="bullet"/>
      <w:lvlText w:val="•"/>
      <w:lvlJc w:val="left"/>
      <w:pPr>
        <w:ind w:left="7992" w:hanging="286"/>
      </w:pPr>
      <w:rPr>
        <w:rFonts w:hint="default"/>
        <w:lang w:val="fr-FR" w:eastAsia="en-US" w:bidi="ar-SA"/>
      </w:rPr>
    </w:lvl>
  </w:abstractNum>
  <w:abstractNum w:abstractNumId="2" w15:restartNumberingAfterBreak="0">
    <w:nsid w:val="13FC6634"/>
    <w:multiLevelType w:val="hybridMultilevel"/>
    <w:tmpl w:val="538C9F88"/>
    <w:lvl w:ilvl="0" w:tplc="D88638C4">
      <w:start w:val="19"/>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167398"/>
    <w:multiLevelType w:val="hybridMultilevel"/>
    <w:tmpl w:val="3B1ADCD8"/>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ED0BDF"/>
    <w:multiLevelType w:val="multilevel"/>
    <w:tmpl w:val="8FF2D2EA"/>
    <w:lvl w:ilvl="0">
      <w:start w:val="1"/>
      <w:numFmt w:val="decimal"/>
      <w:lvlText w:val="%1"/>
      <w:lvlJc w:val="left"/>
      <w:pPr>
        <w:ind w:left="510" w:hanging="510"/>
      </w:pPr>
      <w:rPr>
        <w:rFonts w:hint="default"/>
      </w:rPr>
    </w:lvl>
    <w:lvl w:ilvl="1">
      <w:start w:val="1"/>
      <w:numFmt w:val="decimal"/>
      <w:lvlText w:val="%1.%2"/>
      <w:lvlJc w:val="left"/>
      <w:pPr>
        <w:ind w:left="1076" w:hanging="510"/>
      </w:pPr>
      <w:rPr>
        <w:rFonts w:hint="default"/>
      </w:rPr>
    </w:lvl>
    <w:lvl w:ilvl="2">
      <w:start w:val="1"/>
      <w:numFmt w:val="decimal"/>
      <w:pStyle w:val="Titre3"/>
      <w:lvlText w:val="%1.%2.%3"/>
      <w:lvlJc w:val="left"/>
      <w:pPr>
        <w:ind w:left="1852" w:hanging="720"/>
      </w:pPr>
      <w:rPr>
        <w:rFonts w:hint="default"/>
        <w:b w:val="0"/>
        <w:i w:val="0"/>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328" w:hanging="1800"/>
      </w:pPr>
      <w:rPr>
        <w:rFonts w:hint="default"/>
      </w:rPr>
    </w:lvl>
  </w:abstractNum>
  <w:abstractNum w:abstractNumId="5" w15:restartNumberingAfterBreak="0">
    <w:nsid w:val="18A8259A"/>
    <w:multiLevelType w:val="hybridMultilevel"/>
    <w:tmpl w:val="63066A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61585C"/>
    <w:multiLevelType w:val="multilevel"/>
    <w:tmpl w:val="D8282F6E"/>
    <w:lvl w:ilvl="0">
      <w:start w:val="1"/>
      <w:numFmt w:val="decimal"/>
      <w:pStyle w:val="Titre1"/>
      <w:lvlText w:val="Article %1."/>
      <w:lvlJc w:val="left"/>
      <w:pPr>
        <w:ind w:left="360" w:hanging="360"/>
      </w:pPr>
      <w:rPr>
        <w:rFonts w:hint="default"/>
      </w:rPr>
    </w:lvl>
    <w:lvl w:ilvl="1">
      <w:start w:val="1"/>
      <w:numFmt w:val="decimal"/>
      <w:pStyle w:val="Titre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400DD8"/>
    <w:multiLevelType w:val="hybridMultilevel"/>
    <w:tmpl w:val="829C27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423D96"/>
    <w:multiLevelType w:val="hybridMultilevel"/>
    <w:tmpl w:val="A92C7A6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303C0F"/>
    <w:multiLevelType w:val="hybridMultilevel"/>
    <w:tmpl w:val="B6DC8B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95409DF"/>
    <w:multiLevelType w:val="hybridMultilevel"/>
    <w:tmpl w:val="DCBCBFD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1843DA"/>
    <w:multiLevelType w:val="hybridMultilevel"/>
    <w:tmpl w:val="67186C1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F487D13"/>
    <w:multiLevelType w:val="hybridMultilevel"/>
    <w:tmpl w:val="275EBC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C93A6D"/>
    <w:multiLevelType w:val="multilevel"/>
    <w:tmpl w:val="713ED76E"/>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B741C0"/>
    <w:multiLevelType w:val="multilevel"/>
    <w:tmpl w:val="CF8A6F90"/>
    <w:lvl w:ilvl="0">
      <w:start w:val="3"/>
      <w:numFmt w:val="decimal"/>
      <w:lvlText w:val="%1"/>
      <w:lvlJc w:val="left"/>
      <w:pPr>
        <w:ind w:left="510" w:hanging="510"/>
      </w:pPr>
      <w:rPr>
        <w:rFonts w:hint="default"/>
      </w:rPr>
    </w:lvl>
    <w:lvl w:ilvl="1">
      <w:start w:val="1"/>
      <w:numFmt w:val="decimal"/>
      <w:lvlText w:val="%1.%2"/>
      <w:lvlJc w:val="left"/>
      <w:pPr>
        <w:ind w:left="1076" w:hanging="510"/>
      </w:pPr>
      <w:rPr>
        <w:rFonts w:hint="default"/>
      </w:rPr>
    </w:lvl>
    <w:lvl w:ilvl="2">
      <w:start w:val="1"/>
      <w:numFmt w:val="decimal"/>
      <w:lvlText w:val="%1.%2.%3"/>
      <w:lvlJc w:val="left"/>
      <w:pPr>
        <w:ind w:left="1852" w:hanging="720"/>
      </w:pPr>
      <w:rPr>
        <w:rFonts w:hint="default"/>
        <w:b w:val="0"/>
        <w:i w:val="0"/>
      </w:rPr>
    </w:lvl>
    <w:lvl w:ilvl="3">
      <w:start w:val="1"/>
      <w:numFmt w:val="decimal"/>
      <w:pStyle w:val="Titre4"/>
      <w:lvlText w:val="%1.%2.%3.%4"/>
      <w:lvlJc w:val="left"/>
      <w:pPr>
        <w:ind w:left="2418" w:hanging="720"/>
      </w:pPr>
      <w:rPr>
        <w:rFonts w:hint="default"/>
        <w:b w:val="0"/>
        <w:i w:val="0"/>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328" w:hanging="1800"/>
      </w:pPr>
      <w:rPr>
        <w:rFonts w:hint="default"/>
      </w:rPr>
    </w:lvl>
  </w:abstractNum>
  <w:abstractNum w:abstractNumId="15" w15:restartNumberingAfterBreak="0">
    <w:nsid w:val="45EA5500"/>
    <w:multiLevelType w:val="hybridMultilevel"/>
    <w:tmpl w:val="68AC210A"/>
    <w:lvl w:ilvl="0" w:tplc="D88638C4">
      <w:start w:val="19"/>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E6473B"/>
    <w:multiLevelType w:val="hybridMultilevel"/>
    <w:tmpl w:val="C68A2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254DC2"/>
    <w:multiLevelType w:val="multilevel"/>
    <w:tmpl w:val="AA481CE2"/>
    <w:lvl w:ilvl="0">
      <w:start w:val="1"/>
      <w:numFmt w:val="decimal"/>
      <w:lvlText w:val="Article %1."/>
      <w:lvlJc w:val="left"/>
      <w:pPr>
        <w:ind w:left="4119"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02" w:hanging="576"/>
      </w:pPr>
      <w:rPr>
        <w:rFonts w:hint="default"/>
        <w:sz w:val="22"/>
        <w:szCs w:val="22"/>
      </w:rPr>
    </w:lvl>
    <w:lvl w:ilvl="2">
      <w:start w:val="1"/>
      <w:numFmt w:val="decimal"/>
      <w:lvlText w:val="%1.%2.%3"/>
      <w:lvlJc w:val="left"/>
      <w:pPr>
        <w:ind w:left="720" w:hanging="720"/>
      </w:pPr>
      <w:rPr>
        <w:rFonts w:hint="default"/>
        <w:color w:val="C0000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51710FBC"/>
    <w:multiLevelType w:val="hybridMultilevel"/>
    <w:tmpl w:val="A0F2E48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3B096C"/>
    <w:multiLevelType w:val="hybridMultilevel"/>
    <w:tmpl w:val="6D024080"/>
    <w:lvl w:ilvl="0" w:tplc="0FB27F9E">
      <w:numFmt w:val="bullet"/>
      <w:lvlText w:val="-"/>
      <w:lvlJc w:val="left"/>
      <w:pPr>
        <w:ind w:left="720" w:hanging="360"/>
      </w:pPr>
      <w:rPr>
        <w:rFonts w:ascii="Trebuchet MS" w:eastAsia="Trebuchet MS" w:hAnsi="Trebuchet MS" w:cs="Trebuchet MS" w:hint="default"/>
        <w:b w:val="0"/>
        <w:bCs w:val="0"/>
        <w:i w:val="0"/>
        <w:iCs w:val="0"/>
        <w:spacing w:val="0"/>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CBE728C"/>
    <w:multiLevelType w:val="hybridMultilevel"/>
    <w:tmpl w:val="7BDC066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A433B7"/>
    <w:multiLevelType w:val="hybridMultilevel"/>
    <w:tmpl w:val="626C66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AAA16CC"/>
    <w:multiLevelType w:val="hybridMultilevel"/>
    <w:tmpl w:val="6F34A680"/>
    <w:lvl w:ilvl="0" w:tplc="D88638C4">
      <w:start w:val="19"/>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C466B6B"/>
    <w:multiLevelType w:val="multilevel"/>
    <w:tmpl w:val="11DEB2C2"/>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
  </w:num>
  <w:num w:numId="2">
    <w:abstractNumId w:val="6"/>
  </w:num>
  <w:num w:numId="3">
    <w:abstractNumId w:val="6"/>
  </w:num>
  <w:num w:numId="4">
    <w:abstractNumId w:val="4"/>
  </w:num>
  <w:num w:numId="5">
    <w:abstractNumId w:val="14"/>
  </w:num>
  <w:num w:numId="6">
    <w:abstractNumId w:val="23"/>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9"/>
  </w:num>
  <w:num w:numId="11">
    <w:abstractNumId w:val="2"/>
  </w:num>
  <w:num w:numId="12">
    <w:abstractNumId w:val="11"/>
  </w:num>
  <w:num w:numId="13">
    <w:abstractNumId w:val="22"/>
  </w:num>
  <w:num w:numId="14">
    <w:abstractNumId w:val="3"/>
  </w:num>
  <w:num w:numId="15">
    <w:abstractNumId w:val="5"/>
  </w:num>
  <w:num w:numId="16">
    <w:abstractNumId w:val="10"/>
  </w:num>
  <w:num w:numId="17">
    <w:abstractNumId w:val="20"/>
  </w:num>
  <w:num w:numId="18">
    <w:abstractNumId w:val="9"/>
  </w:num>
  <w:num w:numId="19">
    <w:abstractNumId w:val="21"/>
  </w:num>
  <w:num w:numId="20">
    <w:abstractNumId w:val="7"/>
  </w:num>
  <w:num w:numId="21">
    <w:abstractNumId w:val="8"/>
  </w:num>
  <w:num w:numId="22">
    <w:abstractNumId w:val="16"/>
  </w:num>
  <w:num w:numId="23">
    <w:abstractNumId w:val="12"/>
  </w:num>
  <w:num w:numId="24">
    <w:abstractNumId w:val="17"/>
  </w:num>
  <w:num w:numId="25">
    <w:abstractNumId w:val="0"/>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7F3"/>
    <w:rsid w:val="000015F3"/>
    <w:rsid w:val="00080CE6"/>
    <w:rsid w:val="000F2CFF"/>
    <w:rsid w:val="001327D2"/>
    <w:rsid w:val="001612FF"/>
    <w:rsid w:val="001C57D5"/>
    <w:rsid w:val="00251B7F"/>
    <w:rsid w:val="00266980"/>
    <w:rsid w:val="00291A3B"/>
    <w:rsid w:val="002F19A5"/>
    <w:rsid w:val="003509B5"/>
    <w:rsid w:val="00392563"/>
    <w:rsid w:val="003F3F4E"/>
    <w:rsid w:val="004C0679"/>
    <w:rsid w:val="004E1C81"/>
    <w:rsid w:val="00500279"/>
    <w:rsid w:val="00543A0D"/>
    <w:rsid w:val="005C6692"/>
    <w:rsid w:val="00622969"/>
    <w:rsid w:val="006A5C52"/>
    <w:rsid w:val="008B3392"/>
    <w:rsid w:val="00900BFC"/>
    <w:rsid w:val="0098762D"/>
    <w:rsid w:val="009F6CA6"/>
    <w:rsid w:val="00A67EB2"/>
    <w:rsid w:val="00AA5F0E"/>
    <w:rsid w:val="00AB2D48"/>
    <w:rsid w:val="00AC5CC7"/>
    <w:rsid w:val="00B03898"/>
    <w:rsid w:val="00B274C8"/>
    <w:rsid w:val="00C21E3E"/>
    <w:rsid w:val="00C50CD4"/>
    <w:rsid w:val="00D277F3"/>
    <w:rsid w:val="00D568AD"/>
    <w:rsid w:val="00D62FE0"/>
    <w:rsid w:val="00D92DAC"/>
    <w:rsid w:val="00DB208E"/>
    <w:rsid w:val="00DC5C65"/>
    <w:rsid w:val="00EC3AF2"/>
    <w:rsid w:val="00EF4F6F"/>
    <w:rsid w:val="00F445C6"/>
    <w:rsid w:val="00F449CC"/>
    <w:rsid w:val="00F76542"/>
    <w:rsid w:val="00FA7A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34AA1"/>
  <w15:chartTrackingRefBased/>
  <w15:docId w15:val="{2CA8E040-A765-4F5D-9278-B92CA7680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7F3"/>
    <w:pPr>
      <w:spacing w:after="0" w:line="240" w:lineRule="auto"/>
      <w:jc w:val="both"/>
    </w:pPr>
    <w:rPr>
      <w:rFonts w:eastAsiaTheme="minorEastAsia"/>
      <w:lang w:eastAsia="fr-FR"/>
    </w:rPr>
  </w:style>
  <w:style w:type="paragraph" w:styleId="Titre1">
    <w:name w:val="heading 1"/>
    <w:basedOn w:val="Normal"/>
    <w:link w:val="Titre1Car"/>
    <w:uiPriority w:val="9"/>
    <w:qFormat/>
    <w:rsid w:val="00B03898"/>
    <w:pPr>
      <w:keepNext/>
      <w:keepLines/>
      <w:numPr>
        <w:numId w:val="3"/>
      </w:numPr>
      <w:pBdr>
        <w:bottom w:val="single" w:sz="12" w:space="3" w:color="C00000"/>
      </w:pBdr>
      <w:tabs>
        <w:tab w:val="left" w:pos="1418"/>
      </w:tabs>
      <w:spacing w:before="120" w:after="240" w:line="264" w:lineRule="auto"/>
      <w:outlineLvl w:val="0"/>
    </w:pPr>
    <w:rPr>
      <w:rFonts w:ascii="Arial" w:eastAsiaTheme="majorEastAsia" w:hAnsi="Arial" w:cstheme="majorBidi"/>
      <w:b/>
      <w:color w:val="E30613"/>
      <w:spacing w:val="20"/>
    </w:rPr>
  </w:style>
  <w:style w:type="paragraph" w:styleId="Titre2">
    <w:name w:val="heading 2"/>
    <w:basedOn w:val="Normal"/>
    <w:link w:val="Titre2Car"/>
    <w:uiPriority w:val="9"/>
    <w:qFormat/>
    <w:rsid w:val="00B03898"/>
    <w:pPr>
      <w:keepNext/>
      <w:keepLines/>
      <w:numPr>
        <w:ilvl w:val="1"/>
        <w:numId w:val="3"/>
      </w:numPr>
      <w:tabs>
        <w:tab w:val="left" w:pos="9072"/>
      </w:tabs>
      <w:spacing w:before="120" w:after="120" w:line="264" w:lineRule="auto"/>
      <w:outlineLvl w:val="1"/>
    </w:pPr>
    <w:rPr>
      <w:rFonts w:ascii="Arial" w:eastAsiaTheme="majorEastAsia" w:hAnsi="Arial" w:cstheme="majorBidi"/>
      <w:b/>
      <w:color w:val="5E5D5D"/>
      <w:szCs w:val="26"/>
      <w:u w:color="000000"/>
    </w:rPr>
  </w:style>
  <w:style w:type="paragraph" w:styleId="Titre3">
    <w:name w:val="heading 3"/>
    <w:basedOn w:val="Normal"/>
    <w:link w:val="Titre3Car"/>
    <w:uiPriority w:val="9"/>
    <w:qFormat/>
    <w:rsid w:val="00B03898"/>
    <w:pPr>
      <w:keepNext/>
      <w:keepLines/>
      <w:numPr>
        <w:ilvl w:val="2"/>
        <w:numId w:val="4"/>
      </w:numPr>
      <w:tabs>
        <w:tab w:val="left" w:pos="9072"/>
      </w:tabs>
      <w:spacing w:before="60" w:after="60" w:line="264" w:lineRule="auto"/>
      <w:outlineLvl w:val="2"/>
    </w:pPr>
    <w:rPr>
      <w:rFonts w:ascii="Arial" w:eastAsiaTheme="majorEastAsia" w:hAnsi="Arial" w:cstheme="majorBidi"/>
      <w:color w:val="767171" w:themeColor="background2" w:themeShade="80"/>
      <w:spacing w:val="14"/>
      <w:sz w:val="20"/>
      <w:szCs w:val="24"/>
    </w:rPr>
  </w:style>
  <w:style w:type="paragraph" w:styleId="Titre4">
    <w:name w:val="heading 4"/>
    <w:basedOn w:val="Titre3"/>
    <w:next w:val="Normal"/>
    <w:link w:val="Titre4Car"/>
    <w:uiPriority w:val="9"/>
    <w:unhideWhenUsed/>
    <w:qFormat/>
    <w:rsid w:val="00B03898"/>
    <w:pPr>
      <w:numPr>
        <w:ilvl w:val="3"/>
        <w:numId w:val="5"/>
      </w:numPr>
      <w:outlineLvl w:val="3"/>
    </w:pPr>
  </w:style>
  <w:style w:type="paragraph" w:styleId="Titre5">
    <w:name w:val="heading 5"/>
    <w:basedOn w:val="Normal"/>
    <w:next w:val="Normal"/>
    <w:link w:val="Titre5Car"/>
    <w:uiPriority w:val="9"/>
    <w:semiHidden/>
    <w:unhideWhenUsed/>
    <w:qFormat/>
    <w:rsid w:val="00D277F3"/>
    <w:pPr>
      <w:keepNext/>
      <w:keepLines/>
      <w:spacing w:before="40"/>
      <w:ind w:left="1008" w:hanging="1008"/>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D277F3"/>
    <w:pPr>
      <w:keepNext/>
      <w:keepLines/>
      <w:spacing w:before="40"/>
      <w:ind w:left="1152" w:hanging="1152"/>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D277F3"/>
    <w:pPr>
      <w:keepNext/>
      <w:keepLines/>
      <w:spacing w:before="40"/>
      <w:ind w:left="1296" w:hanging="1296"/>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D277F3"/>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D277F3"/>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rets">
    <w:name w:val="Tirets"/>
    <w:basedOn w:val="Normal"/>
    <w:qFormat/>
    <w:rsid w:val="00B03898"/>
    <w:pPr>
      <w:numPr>
        <w:ilvl w:val="3"/>
        <w:numId w:val="1"/>
      </w:numPr>
      <w:tabs>
        <w:tab w:val="left" w:pos="9072"/>
      </w:tabs>
      <w:spacing w:line="264" w:lineRule="auto"/>
    </w:pPr>
  </w:style>
  <w:style w:type="character" w:customStyle="1" w:styleId="Titre1Car">
    <w:name w:val="Titre 1 Car"/>
    <w:basedOn w:val="Policepardfaut"/>
    <w:link w:val="Titre1"/>
    <w:uiPriority w:val="9"/>
    <w:rsid w:val="00B03898"/>
    <w:rPr>
      <w:rFonts w:ascii="Arial" w:eastAsiaTheme="majorEastAsia" w:hAnsi="Arial" w:cstheme="majorBidi"/>
      <w:b/>
      <w:color w:val="E30613"/>
      <w:spacing w:val="20"/>
    </w:rPr>
  </w:style>
  <w:style w:type="character" w:customStyle="1" w:styleId="Titre2Car">
    <w:name w:val="Titre 2 Car"/>
    <w:basedOn w:val="Policepardfaut"/>
    <w:link w:val="Titre2"/>
    <w:uiPriority w:val="9"/>
    <w:rsid w:val="00B03898"/>
    <w:rPr>
      <w:rFonts w:ascii="Arial" w:eastAsiaTheme="majorEastAsia" w:hAnsi="Arial" w:cstheme="majorBidi"/>
      <w:b/>
      <w:color w:val="5E5D5D"/>
      <w:szCs w:val="26"/>
      <w:u w:color="000000"/>
    </w:rPr>
  </w:style>
  <w:style w:type="character" w:customStyle="1" w:styleId="Titre3Car">
    <w:name w:val="Titre 3 Car"/>
    <w:basedOn w:val="Policepardfaut"/>
    <w:link w:val="Titre3"/>
    <w:uiPriority w:val="9"/>
    <w:rsid w:val="00B03898"/>
    <w:rPr>
      <w:rFonts w:ascii="Arial" w:eastAsiaTheme="majorEastAsia" w:hAnsi="Arial" w:cstheme="majorBidi"/>
      <w:color w:val="767171" w:themeColor="background2" w:themeShade="80"/>
      <w:spacing w:val="14"/>
      <w:sz w:val="20"/>
      <w:szCs w:val="24"/>
    </w:rPr>
  </w:style>
  <w:style w:type="character" w:customStyle="1" w:styleId="Titre4Car">
    <w:name w:val="Titre 4 Car"/>
    <w:basedOn w:val="Policepardfaut"/>
    <w:link w:val="Titre4"/>
    <w:uiPriority w:val="9"/>
    <w:rsid w:val="00B03898"/>
    <w:rPr>
      <w:rFonts w:ascii="Arial" w:eastAsiaTheme="majorEastAsia" w:hAnsi="Arial" w:cstheme="majorBidi"/>
      <w:color w:val="767171" w:themeColor="background2" w:themeShade="80"/>
      <w:spacing w:val="14"/>
      <w:sz w:val="20"/>
      <w:szCs w:val="24"/>
    </w:rPr>
  </w:style>
  <w:style w:type="paragraph" w:styleId="Corpsdetexte">
    <w:name w:val="Body Text"/>
    <w:basedOn w:val="Normal"/>
    <w:link w:val="CorpsdetexteCar"/>
    <w:uiPriority w:val="1"/>
    <w:qFormat/>
    <w:rsid w:val="00B03898"/>
    <w:pPr>
      <w:widowControl w:val="0"/>
      <w:tabs>
        <w:tab w:val="left" w:pos="9072"/>
      </w:tabs>
      <w:autoSpaceDE w:val="0"/>
      <w:autoSpaceDN w:val="0"/>
      <w:spacing w:line="264" w:lineRule="auto"/>
    </w:pPr>
  </w:style>
  <w:style w:type="character" w:customStyle="1" w:styleId="CorpsdetexteCar">
    <w:name w:val="Corps de texte Car"/>
    <w:basedOn w:val="Policepardfaut"/>
    <w:link w:val="Corpsdetexte"/>
    <w:uiPriority w:val="1"/>
    <w:rsid w:val="00B03898"/>
    <w:rPr>
      <w:rFonts w:eastAsiaTheme="minorEastAsia"/>
      <w:lang w:eastAsia="fr-FR"/>
    </w:rPr>
  </w:style>
  <w:style w:type="character" w:customStyle="1" w:styleId="Titre5Car">
    <w:name w:val="Titre 5 Car"/>
    <w:basedOn w:val="Policepardfaut"/>
    <w:link w:val="Titre5"/>
    <w:uiPriority w:val="9"/>
    <w:semiHidden/>
    <w:rsid w:val="00D277F3"/>
    <w:rPr>
      <w:rFonts w:asciiTheme="majorHAnsi" w:eastAsiaTheme="majorEastAsia" w:hAnsiTheme="majorHAnsi" w:cstheme="majorBidi"/>
      <w:color w:val="2E74B5" w:themeColor="accent1" w:themeShade="BF"/>
      <w:lang w:eastAsia="fr-FR"/>
    </w:rPr>
  </w:style>
  <w:style w:type="character" w:customStyle="1" w:styleId="Titre6Car">
    <w:name w:val="Titre 6 Car"/>
    <w:basedOn w:val="Policepardfaut"/>
    <w:link w:val="Titre6"/>
    <w:uiPriority w:val="9"/>
    <w:semiHidden/>
    <w:rsid w:val="00D277F3"/>
    <w:rPr>
      <w:rFonts w:asciiTheme="majorHAnsi" w:eastAsiaTheme="majorEastAsia" w:hAnsiTheme="majorHAnsi" w:cstheme="majorBidi"/>
      <w:color w:val="1F4D78" w:themeColor="accent1" w:themeShade="7F"/>
      <w:lang w:eastAsia="fr-FR"/>
    </w:rPr>
  </w:style>
  <w:style w:type="character" w:customStyle="1" w:styleId="Titre7Car">
    <w:name w:val="Titre 7 Car"/>
    <w:basedOn w:val="Policepardfaut"/>
    <w:link w:val="Titre7"/>
    <w:uiPriority w:val="9"/>
    <w:semiHidden/>
    <w:rsid w:val="00D277F3"/>
    <w:rPr>
      <w:rFonts w:asciiTheme="majorHAnsi" w:eastAsiaTheme="majorEastAsia" w:hAnsiTheme="majorHAnsi" w:cstheme="majorBidi"/>
      <w:i/>
      <w:iCs/>
      <w:color w:val="1F4D78" w:themeColor="accent1" w:themeShade="7F"/>
      <w:lang w:eastAsia="fr-FR"/>
    </w:rPr>
  </w:style>
  <w:style w:type="character" w:customStyle="1" w:styleId="Titre8Car">
    <w:name w:val="Titre 8 Car"/>
    <w:basedOn w:val="Policepardfaut"/>
    <w:link w:val="Titre8"/>
    <w:uiPriority w:val="9"/>
    <w:semiHidden/>
    <w:rsid w:val="00D277F3"/>
    <w:rPr>
      <w:rFonts w:asciiTheme="majorHAnsi" w:eastAsiaTheme="majorEastAsia" w:hAnsiTheme="majorHAnsi" w:cstheme="majorBidi"/>
      <w:color w:val="272727" w:themeColor="text1" w:themeTint="D8"/>
      <w:sz w:val="21"/>
      <w:szCs w:val="21"/>
      <w:lang w:eastAsia="fr-FR"/>
    </w:rPr>
  </w:style>
  <w:style w:type="character" w:customStyle="1" w:styleId="Titre9Car">
    <w:name w:val="Titre 9 Car"/>
    <w:basedOn w:val="Policepardfaut"/>
    <w:link w:val="Titre9"/>
    <w:uiPriority w:val="9"/>
    <w:semiHidden/>
    <w:rsid w:val="00D277F3"/>
    <w:rPr>
      <w:rFonts w:asciiTheme="majorHAnsi" w:eastAsiaTheme="majorEastAsia" w:hAnsiTheme="majorHAnsi" w:cstheme="majorBidi"/>
      <w:i/>
      <w:iCs/>
      <w:color w:val="272727" w:themeColor="text1" w:themeTint="D8"/>
      <w:sz w:val="21"/>
      <w:szCs w:val="21"/>
      <w:lang w:eastAsia="fr-FR"/>
    </w:rPr>
  </w:style>
  <w:style w:type="paragraph" w:styleId="Paragraphedeliste">
    <w:name w:val="List Paragraph"/>
    <w:aliases w:val="SEM Paragraphe"/>
    <w:basedOn w:val="Normal"/>
    <w:link w:val="ParagraphedelisteCar"/>
    <w:uiPriority w:val="1"/>
    <w:qFormat/>
    <w:rsid w:val="00D277F3"/>
    <w:pPr>
      <w:ind w:left="720"/>
      <w:contextualSpacing/>
    </w:pPr>
  </w:style>
  <w:style w:type="character" w:customStyle="1" w:styleId="ParagraphedelisteCar">
    <w:name w:val="Paragraphe de liste Car"/>
    <w:aliases w:val="SEM Paragraphe Car"/>
    <w:link w:val="Paragraphedeliste"/>
    <w:uiPriority w:val="1"/>
    <w:locked/>
    <w:rsid w:val="00D277F3"/>
    <w:rPr>
      <w:rFonts w:eastAsiaTheme="minorEastAsia"/>
      <w:lang w:eastAsia="fr-FR"/>
    </w:rPr>
  </w:style>
  <w:style w:type="character" w:styleId="Marquedecommentaire">
    <w:name w:val="annotation reference"/>
    <w:basedOn w:val="Policepardfaut"/>
    <w:unhideWhenUsed/>
    <w:rsid w:val="002F19A5"/>
    <w:rPr>
      <w:sz w:val="16"/>
      <w:szCs w:val="16"/>
    </w:rPr>
  </w:style>
  <w:style w:type="paragraph" w:styleId="Commentaire">
    <w:name w:val="annotation text"/>
    <w:basedOn w:val="Normal"/>
    <w:link w:val="CommentaireCar"/>
    <w:unhideWhenUsed/>
    <w:rsid w:val="002F19A5"/>
    <w:rPr>
      <w:szCs w:val="20"/>
    </w:rPr>
  </w:style>
  <w:style w:type="character" w:customStyle="1" w:styleId="CommentaireCar">
    <w:name w:val="Commentaire Car"/>
    <w:basedOn w:val="Policepardfaut"/>
    <w:link w:val="Commentaire"/>
    <w:rsid w:val="002F19A5"/>
    <w:rPr>
      <w:rFonts w:eastAsiaTheme="minorEastAsia"/>
      <w:szCs w:val="20"/>
      <w:lang w:eastAsia="fr-FR"/>
    </w:rPr>
  </w:style>
  <w:style w:type="paragraph" w:styleId="Textedebulles">
    <w:name w:val="Balloon Text"/>
    <w:basedOn w:val="Normal"/>
    <w:link w:val="TextedebullesCar"/>
    <w:uiPriority w:val="99"/>
    <w:semiHidden/>
    <w:unhideWhenUsed/>
    <w:rsid w:val="002F19A5"/>
    <w:rPr>
      <w:rFonts w:ascii="Segoe UI" w:hAnsi="Segoe UI" w:cs="Segoe UI"/>
      <w:sz w:val="18"/>
      <w:szCs w:val="18"/>
    </w:rPr>
  </w:style>
  <w:style w:type="character" w:customStyle="1" w:styleId="TextedebullesCar">
    <w:name w:val="Texte de bulles Car"/>
    <w:basedOn w:val="Policepardfaut"/>
    <w:link w:val="Textedebulles"/>
    <w:uiPriority w:val="99"/>
    <w:semiHidden/>
    <w:rsid w:val="002F19A5"/>
    <w:rPr>
      <w:rFonts w:ascii="Segoe UI" w:eastAsiaTheme="minorEastAsia" w:hAnsi="Segoe UI" w:cs="Segoe UI"/>
      <w:sz w:val="18"/>
      <w:szCs w:val="18"/>
      <w:lang w:eastAsia="fr-FR"/>
    </w:rPr>
  </w:style>
  <w:style w:type="paragraph" w:styleId="Objetducommentaire">
    <w:name w:val="annotation subject"/>
    <w:basedOn w:val="Commentaire"/>
    <w:next w:val="Commentaire"/>
    <w:link w:val="ObjetducommentaireCar"/>
    <w:uiPriority w:val="99"/>
    <w:semiHidden/>
    <w:unhideWhenUsed/>
    <w:rsid w:val="00291A3B"/>
    <w:rPr>
      <w:b/>
      <w:bCs/>
      <w:sz w:val="20"/>
    </w:rPr>
  </w:style>
  <w:style w:type="character" w:customStyle="1" w:styleId="ObjetducommentaireCar">
    <w:name w:val="Objet du commentaire Car"/>
    <w:basedOn w:val="CommentaireCar"/>
    <w:link w:val="Objetducommentaire"/>
    <w:uiPriority w:val="99"/>
    <w:semiHidden/>
    <w:rsid w:val="00291A3B"/>
    <w:rPr>
      <w:rFonts w:eastAsiaTheme="minorEastAsia"/>
      <w:b/>
      <w:bCs/>
      <w:sz w:val="20"/>
      <w:szCs w:val="20"/>
      <w:lang w:eastAsia="fr-FR"/>
    </w:rPr>
  </w:style>
  <w:style w:type="character" w:customStyle="1" w:styleId="title3">
    <w:name w:val="title3"/>
    <w:basedOn w:val="Policepardfaut"/>
    <w:rsid w:val="005C6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009143">
      <w:bodyDiv w:val="1"/>
      <w:marLeft w:val="0"/>
      <w:marRight w:val="0"/>
      <w:marTop w:val="0"/>
      <w:marBottom w:val="0"/>
      <w:divBdr>
        <w:top w:val="none" w:sz="0" w:space="0" w:color="auto"/>
        <w:left w:val="none" w:sz="0" w:space="0" w:color="auto"/>
        <w:bottom w:val="none" w:sz="0" w:space="0" w:color="auto"/>
        <w:right w:val="none" w:sz="0" w:space="0" w:color="auto"/>
      </w:divBdr>
      <w:divsChild>
        <w:div w:id="480654937">
          <w:marLeft w:val="0"/>
          <w:marRight w:val="0"/>
          <w:marTop w:val="0"/>
          <w:marBottom w:val="0"/>
          <w:divBdr>
            <w:top w:val="none" w:sz="0" w:space="0" w:color="auto"/>
            <w:left w:val="none" w:sz="0" w:space="0" w:color="auto"/>
            <w:bottom w:val="none" w:sz="0" w:space="0" w:color="auto"/>
            <w:right w:val="none" w:sz="0" w:space="0" w:color="auto"/>
          </w:divBdr>
        </w:div>
      </w:divsChild>
    </w:div>
    <w:div w:id="313604007">
      <w:bodyDiv w:val="1"/>
      <w:marLeft w:val="0"/>
      <w:marRight w:val="0"/>
      <w:marTop w:val="0"/>
      <w:marBottom w:val="0"/>
      <w:divBdr>
        <w:top w:val="none" w:sz="0" w:space="0" w:color="auto"/>
        <w:left w:val="none" w:sz="0" w:space="0" w:color="auto"/>
        <w:bottom w:val="none" w:sz="0" w:space="0" w:color="auto"/>
        <w:right w:val="none" w:sz="0" w:space="0" w:color="auto"/>
      </w:divBdr>
    </w:div>
    <w:div w:id="1208908412">
      <w:bodyDiv w:val="1"/>
      <w:marLeft w:val="0"/>
      <w:marRight w:val="0"/>
      <w:marTop w:val="0"/>
      <w:marBottom w:val="0"/>
      <w:divBdr>
        <w:top w:val="none" w:sz="0" w:space="0" w:color="auto"/>
        <w:left w:val="none" w:sz="0" w:space="0" w:color="auto"/>
        <w:bottom w:val="none" w:sz="0" w:space="0" w:color="auto"/>
        <w:right w:val="none" w:sz="0" w:space="0" w:color="auto"/>
      </w:divBdr>
    </w:div>
    <w:div w:id="1315068206">
      <w:bodyDiv w:val="1"/>
      <w:marLeft w:val="0"/>
      <w:marRight w:val="0"/>
      <w:marTop w:val="0"/>
      <w:marBottom w:val="0"/>
      <w:divBdr>
        <w:top w:val="none" w:sz="0" w:space="0" w:color="auto"/>
        <w:left w:val="none" w:sz="0" w:space="0" w:color="auto"/>
        <w:bottom w:val="none" w:sz="0" w:space="0" w:color="auto"/>
        <w:right w:val="none" w:sz="0" w:space="0" w:color="auto"/>
      </w:divBdr>
    </w:div>
    <w:div w:id="1323702225">
      <w:bodyDiv w:val="1"/>
      <w:marLeft w:val="0"/>
      <w:marRight w:val="0"/>
      <w:marTop w:val="0"/>
      <w:marBottom w:val="0"/>
      <w:divBdr>
        <w:top w:val="none" w:sz="0" w:space="0" w:color="auto"/>
        <w:left w:val="none" w:sz="0" w:space="0" w:color="auto"/>
        <w:bottom w:val="none" w:sz="0" w:space="0" w:color="auto"/>
        <w:right w:val="none" w:sz="0" w:space="0" w:color="auto"/>
      </w:divBdr>
    </w:div>
    <w:div w:id="1683698901">
      <w:bodyDiv w:val="1"/>
      <w:marLeft w:val="0"/>
      <w:marRight w:val="0"/>
      <w:marTop w:val="0"/>
      <w:marBottom w:val="0"/>
      <w:divBdr>
        <w:top w:val="none" w:sz="0" w:space="0" w:color="auto"/>
        <w:left w:val="none" w:sz="0" w:space="0" w:color="auto"/>
        <w:bottom w:val="none" w:sz="0" w:space="0" w:color="auto"/>
        <w:right w:val="none" w:sz="0" w:space="0" w:color="auto"/>
      </w:divBdr>
    </w:div>
    <w:div w:id="208614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877</TotalTime>
  <Pages>9</Pages>
  <Words>3602</Words>
  <Characters>19816</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
    </vt:vector>
  </TitlesOfParts>
  <Company>Université Paris Ouest Nanterre La Défense</Company>
  <LinksUpToDate>false</LinksUpToDate>
  <CharactersWithSpaces>23372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Bergeret Thomas</dc:creator>
  <cp:keywords/>
  <dc:description/>
  <cp:lastModifiedBy>Kouakou Konan cyrille</cp:lastModifiedBy>
  <cp:revision>19</cp:revision>
  <dcterms:created xsi:type="dcterms:W3CDTF">2025-08-27T09:19:00Z</dcterms:created>
  <dcterms:modified xsi:type="dcterms:W3CDTF">2026-04-01T12:02:00Z</dcterms:modified>
</cp:coreProperties>
</file>